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3971" w14:textId="2332C245" w:rsidR="008F48D3" w:rsidRDefault="00C5391E" w:rsidP="005B162C">
      <w:pPr>
        <w:pStyle w:val="Title"/>
      </w:pPr>
      <w:bookmarkStart w:id="0" w:name="_GoBack"/>
      <w:bookmarkEnd w:id="0"/>
      <w:r w:rsidRPr="00C5391E">
        <w:t>Modified Set of Instructions, Scope of Work, Statement of Assumptions and Limiting Conditions</w:t>
      </w:r>
      <w:r w:rsidR="006B1A41">
        <w:t>,</w:t>
      </w:r>
      <w:r w:rsidRPr="00C5391E">
        <w:t xml:space="preserve"> and Certification for Desktop Appraisals</w:t>
      </w:r>
    </w:p>
    <w:p w14:paraId="6D538750" w14:textId="164A6252" w:rsidR="009032A5" w:rsidRPr="009032A5" w:rsidRDefault="0047181F" w:rsidP="00C46D02">
      <w:pPr>
        <w:pStyle w:val="Heading2"/>
      </w:pPr>
      <w:r>
        <w:rPr>
          <w:rFonts w:eastAsia="Times New Roman"/>
        </w:rPr>
        <w:t>F</w:t>
      </w:r>
      <w:r w:rsidR="00C46D02">
        <w:rPr>
          <w:rFonts w:eastAsia="Times New Roman"/>
        </w:rPr>
        <w:t xml:space="preserve">or Desktop Appraisals Using COVID-19 Temporary Flexibilities and Reported on Fannie Mae Form 1004, 1073, 1025, 1004C, </w:t>
      </w:r>
      <w:r w:rsidR="00450D4C">
        <w:rPr>
          <w:rFonts w:eastAsia="Times New Roman"/>
        </w:rPr>
        <w:t xml:space="preserve">or </w:t>
      </w:r>
      <w:r w:rsidR="00C46D02">
        <w:rPr>
          <w:rFonts w:eastAsia="Times New Roman"/>
        </w:rPr>
        <w:t>2090</w:t>
      </w:r>
    </w:p>
    <w:p w14:paraId="3C2DCB96" w14:textId="24A5EA04" w:rsidR="009C4DB3" w:rsidRDefault="009C4DB3" w:rsidP="009A181E">
      <w:r>
        <w:rPr>
          <w:noProof/>
        </w:rPr>
        <mc:AlternateContent>
          <mc:Choice Requires="wps">
            <w:drawing>
              <wp:anchor distT="0" distB="0" distL="114300" distR="114300" simplePos="0" relativeHeight="251659264" behindDoc="0" locked="0" layoutInCell="1" allowOverlap="1" wp14:anchorId="5819474E" wp14:editId="339EE362">
                <wp:simplePos x="0" y="0"/>
                <wp:positionH relativeFrom="column">
                  <wp:posOffset>16329</wp:posOffset>
                </wp:positionH>
                <wp:positionV relativeFrom="paragraph">
                  <wp:posOffset>7167</wp:posOffset>
                </wp:positionV>
                <wp:extent cx="6830785" cy="783772"/>
                <wp:effectExtent l="0" t="0" r="27305" b="16510"/>
                <wp:wrapNone/>
                <wp:docPr id="3" name="Rectangle: Rounded Corners 3"/>
                <wp:cNvGraphicFramePr/>
                <a:graphic xmlns:a="http://schemas.openxmlformats.org/drawingml/2006/main">
                  <a:graphicData uri="http://schemas.microsoft.com/office/word/2010/wordprocessingShape">
                    <wps:wsp>
                      <wps:cNvSpPr/>
                      <wps:spPr>
                        <a:xfrm>
                          <a:off x="0" y="0"/>
                          <a:ext cx="6830785" cy="783772"/>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C8633" w14:textId="33A5230C" w:rsidR="009C4DB3" w:rsidRDefault="009C4DB3" w:rsidP="009C4DB3">
                            <w:pPr>
                              <w:spacing w:after="40"/>
                              <w:jc w:val="center"/>
                            </w:pPr>
                            <w:r>
                              <w:t>INSTRUCTIONS</w:t>
                            </w:r>
                          </w:p>
                          <w:p w14:paraId="25175B6A" w14:textId="7154AA77" w:rsidR="009C4DB3" w:rsidRDefault="009C4DB3" w:rsidP="009C4DB3">
                            <w:pPr>
                              <w:jc w:val="center"/>
                            </w:pPr>
                            <w:r>
                              <w:t xml:space="preserve">1) In your appraisal report, enter the word “desktop” in the Map Reference field. </w:t>
                            </w:r>
                          </w:p>
                          <w:p w14:paraId="58DEB8B6" w14:textId="46B3EC72" w:rsidR="009C4DB3" w:rsidRDefault="009C4DB3" w:rsidP="009C4DB3">
                            <w:pPr>
                              <w:jc w:val="center"/>
                            </w:pPr>
                            <w:r>
                              <w:t xml:space="preserve">2) Copy the </w:t>
                            </w:r>
                            <w:r w:rsidRPr="009C4DB3">
                              <w:rPr>
                                <w:i/>
                                <w:iCs/>
                              </w:rPr>
                              <w:t>entire text</w:t>
                            </w:r>
                            <w:r>
                              <w:t xml:space="preserve"> below, including the word “DESKTOP,” and paste it into your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9474E" id="Rectangle: Rounded Corners 3" o:spid="_x0000_s1026" style="position:absolute;margin-left:1.3pt;margin-top:.55pt;width:537.85pt;height:6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" fillcolor="#063d5f [2404]" strokecolor="#063d5f [2404]" strokeweight="1pt">
                <v:stroke joinstyle="miter"/>
                <v:textbox>
                  <w:txbxContent>
                    <w:p w14:paraId="581C8633" w14:textId="33A5230C" w:rsidR="009C4DB3" w:rsidRDefault="009C4DB3" w:rsidP="009C4DB3">
                      <w:pPr>
                        <w:spacing w:after="40"/>
                        <w:jc w:val="center"/>
                      </w:pPr>
                      <w:r>
                        <w:t>INSTRUCTIONS</w:t>
                      </w:r>
                    </w:p>
                    <w:p w14:paraId="25175B6A" w14:textId="7154AA77" w:rsidR="009C4DB3" w:rsidRDefault="009C4DB3" w:rsidP="009C4DB3">
                      <w:pPr>
                        <w:jc w:val="center"/>
                      </w:pPr>
                      <w:r>
                        <w:t xml:space="preserve">1) In your appraisal report, enter the word “desktop” in the Map Reference field. </w:t>
                      </w:r>
                    </w:p>
                    <w:p w14:paraId="58DEB8B6" w14:textId="46B3EC72" w:rsidR="009C4DB3" w:rsidRDefault="009C4DB3" w:rsidP="009C4DB3">
                      <w:pPr>
                        <w:jc w:val="center"/>
                      </w:pPr>
                      <w:r>
                        <w:t xml:space="preserve">2) Copy the </w:t>
                      </w:r>
                      <w:r w:rsidRPr="009C4DB3">
                        <w:rPr>
                          <w:i/>
                          <w:iCs/>
                        </w:rPr>
                        <w:t>entire text</w:t>
                      </w:r>
                      <w:r>
                        <w:t xml:space="preserve"> below, including the word “DESKTOP,” and paste it into your report.</w:t>
                      </w:r>
                    </w:p>
                  </w:txbxContent>
                </v:textbox>
              </v:roundrect>
            </w:pict>
          </mc:Fallback>
        </mc:AlternateContent>
      </w:r>
    </w:p>
    <w:p w14:paraId="6F7FED3F" w14:textId="646F809D" w:rsidR="009C4DB3" w:rsidRDefault="009C4DB3" w:rsidP="009A181E"/>
    <w:p w14:paraId="31DBB9F3" w14:textId="11512903" w:rsidR="009C4DB3" w:rsidRDefault="009C4DB3" w:rsidP="009A181E"/>
    <w:p w14:paraId="2C03954B" w14:textId="77777777" w:rsidR="009C4DB3" w:rsidRDefault="009C4DB3" w:rsidP="009A181E"/>
    <w:p w14:paraId="3ACC17BE" w14:textId="49619B7A" w:rsidR="009C4DB3" w:rsidRDefault="009C4DB3" w:rsidP="009A181E">
      <w:r>
        <w:t>DESKTOP</w:t>
      </w:r>
    </w:p>
    <w:p w14:paraId="3C01E495" w14:textId="7185F31A" w:rsidR="009A181E" w:rsidRDefault="009A181E" w:rsidP="009A181E">
      <w:r>
        <w:t>This modified set of instructions, Scope of Work, Statement of Assumptions and Limiting Conditions, and Certification replaces and supersedes the corresponding sections of the appraisal report to which this language is attached as an addendum.</w:t>
      </w:r>
      <w:r w:rsidR="00430F5D">
        <w:t xml:space="preserve"> </w:t>
      </w:r>
      <w:r>
        <w:t>It is authorized and used with the express permission of Fannie Mae and Freddie Mac as of March 2</w:t>
      </w:r>
      <w:r w:rsidR="00430F5D">
        <w:t>3</w:t>
      </w:r>
      <w:r>
        <w:t>, 2020. Any signatures attached to the original appraisal report and certifications are incorporated and apply to these revised sections.</w:t>
      </w:r>
    </w:p>
    <w:p w14:paraId="4DD38023" w14:textId="319500C7" w:rsidR="009A181E" w:rsidRDefault="009A181E" w:rsidP="009A181E">
      <w:r>
        <w:t>This appraisal report is subject to the following scope of work, intended use, intended user, definition of market value,</w:t>
      </w:r>
      <w:r w:rsidR="0047181F">
        <w:t xml:space="preserve"> </w:t>
      </w:r>
      <w:r>
        <w:t>statement of assumptions and limiting conditions, and certifications. Modifications, additions, or deletions to the intended use, intended user, or definition of market value are not permitted. The appraiser may expand the scope of work to include any additional research or analysis necessary based on the complexity of this appraisal assignment. Additional modifications or deletions to this revised set of certifications are also not permitted. However, additional certifications that do not constitute material alterations to this appraisal report, such as those required by law or those related to the appraiser’s continuing education or membership in an appraisal organization, are permitted.</w:t>
      </w:r>
    </w:p>
    <w:p w14:paraId="43EA01EE" w14:textId="69427922" w:rsidR="009A181E" w:rsidRDefault="009A181E" w:rsidP="009A181E">
      <w:r w:rsidRPr="0047181F">
        <w:rPr>
          <w:b/>
          <w:bCs/>
          <w:color w:val="063D5F" w:themeColor="accent1" w:themeShade="BF"/>
        </w:rPr>
        <w:t>SCOPE OF WORK:</w:t>
      </w:r>
      <w:r w:rsidRPr="0047181F">
        <w:rPr>
          <w:color w:val="063D5F" w:themeColor="accent1" w:themeShade="BF"/>
        </w:rPr>
        <w:t xml:space="preserve"> </w:t>
      </w:r>
      <w:r>
        <w:t>The scope of work for this appraisal is defined by the complexity of this appraisal assignment and the reporting requirements of this appraisal report form, including the following definition of market value, statement of</w:t>
      </w:r>
      <w:r w:rsidR="00430F5D">
        <w:t xml:space="preserve"> </w:t>
      </w:r>
      <w:r>
        <w:t>assumptions and limiting conditions, and certifications. The appraiser must, at a minimum: (1)obtain and review adequate and reliable information for the subject property, and the subject project (where applicable) including, but not limited to, public and/or private data records, and information as described by the appraiser in the appraisal report, (2)research, verify, and analyze adequate and reliable data from public and/or private sources for the subject market area including data for each comparable property reported, and, (3) report his or her analysis, opinions, and conclusions in this appraisal report.</w:t>
      </w:r>
    </w:p>
    <w:p w14:paraId="7CC916EA" w14:textId="7D06B701" w:rsidR="009A181E" w:rsidRDefault="009A181E" w:rsidP="009A181E">
      <w:r w:rsidRPr="0047181F">
        <w:rPr>
          <w:b/>
          <w:bCs/>
          <w:color w:val="063D5F" w:themeColor="accent1" w:themeShade="BF"/>
        </w:rPr>
        <w:t>INTENDED USE:</w:t>
      </w:r>
      <w:r w:rsidRPr="0047181F">
        <w:rPr>
          <w:color w:val="063D5F" w:themeColor="accent1" w:themeShade="BF"/>
        </w:rPr>
        <w:t xml:space="preserve"> </w:t>
      </w:r>
      <w:r>
        <w:t>The intended use of this appraisal report is for the lender/client to evaluate the property that is the</w:t>
      </w:r>
      <w:r w:rsidR="0047181F">
        <w:t xml:space="preserve"> </w:t>
      </w:r>
      <w:r>
        <w:t>subject of this appraisal for a mortgage finance transaction.</w:t>
      </w:r>
    </w:p>
    <w:p w14:paraId="7576B047" w14:textId="4F17D9EE" w:rsidR="009A181E" w:rsidRDefault="009A181E" w:rsidP="009A181E">
      <w:r w:rsidRPr="0047181F">
        <w:rPr>
          <w:b/>
          <w:bCs/>
          <w:color w:val="063D5F" w:themeColor="accent1" w:themeShade="BF"/>
        </w:rPr>
        <w:t>INTENDED USER:</w:t>
      </w:r>
      <w:r w:rsidRPr="0047181F">
        <w:rPr>
          <w:color w:val="063D5F" w:themeColor="accent1" w:themeShade="BF"/>
        </w:rPr>
        <w:t xml:space="preserve"> </w:t>
      </w:r>
      <w:r>
        <w:t>The intended user of this appraisal report is the lender/client.</w:t>
      </w:r>
    </w:p>
    <w:p w14:paraId="281B352A" w14:textId="1FE297E2" w:rsidR="009A181E" w:rsidRDefault="009A181E" w:rsidP="009A181E">
      <w:r w:rsidRPr="0047181F">
        <w:rPr>
          <w:b/>
          <w:bCs/>
          <w:color w:val="063D5F" w:themeColor="accent1" w:themeShade="BF"/>
        </w:rPr>
        <w:t>DEFINITION OF MARKET VALUE:</w:t>
      </w:r>
      <w:r w:rsidRPr="0047181F">
        <w:rPr>
          <w:color w:val="063D5F" w:themeColor="accent1" w:themeShade="BF"/>
        </w:rPr>
        <w:t xml:space="preserve"> </w:t>
      </w:r>
      <w:r>
        <w:t>The most probable price which a property should bring in a competitive and open</w:t>
      </w:r>
      <w:r w:rsidR="0047181F">
        <w:t xml:space="preserve"> </w:t>
      </w:r>
      <w:r>
        <w:t xml:space="preserve">market under all </w:t>
      </w:r>
      <w:proofErr w:type="gramStart"/>
      <w:r>
        <w:t>conditions</w:t>
      </w:r>
      <w:proofErr w:type="gramEnd"/>
      <w:r>
        <w:t xml:space="preserve"> requisite to a fair sale, the buyer and seller, each acting prudently, knowledgeably and assuming the price is not affected by undue stimulus. Implicit in this definition is the consummation of a sale as of a specified date and the passing of title from seller to buyer under conditions whereby: (1) buyer and seller are typically motivated; (2) both parties are well informed or well advised, and each acting in what he or she considers his or her own best interest; (3) a reasonable time is allowed for exposure in the open market; (4) payment is made in terms of cash in U. S. dollars or in terms of financial arrangements comparable thereto; and (5) the price represents the normal consideration for the property sold unaffected by special or creative financing or sales concessions* granted by anyone associated with the sale.</w:t>
      </w:r>
    </w:p>
    <w:p w14:paraId="36D349C6" w14:textId="1B4B2E96" w:rsidR="009A181E" w:rsidRDefault="009A181E" w:rsidP="009A181E">
      <w:r>
        <w:t xml:space="preserve">*Adjustments to the </w:t>
      </w:r>
      <w:proofErr w:type="spellStart"/>
      <w:r>
        <w:t>comparables</w:t>
      </w:r>
      <w:proofErr w:type="spellEnd"/>
      <w:r>
        <w:t xml:space="preserve"> must be made for special or creative financing or sales concessions. No adjustments are necessary for those costs which are normally paid by sellers as a result of tradition or law in a market area; these costs are readily </w:t>
      </w:r>
      <w:r>
        <w:lastRenderedPageBreak/>
        <w:t>identifiable since the seller pays these costs in virtually all sales transactions. Special or creative financing adjustments can be made to the comparable property by comparisons to financing terms offered by a third</w:t>
      </w:r>
      <w:r w:rsidR="00534AC9">
        <w:t>-</w:t>
      </w:r>
      <w:r>
        <w:t>party institutional lender that is not already involved in the property or transaction. Any adjustment should not be calculated on a mechanical dollar for dollar cost of the financing or concession but the dollar amount of any adjustment should approximate the market’s reaction to the financing or concessions based on the appraiser’s judgment.</w:t>
      </w:r>
    </w:p>
    <w:p w14:paraId="6768D917" w14:textId="77777777" w:rsidR="009C4DB3" w:rsidRDefault="009C4DB3" w:rsidP="009A181E">
      <w:pPr>
        <w:rPr>
          <w:b/>
          <w:bCs/>
          <w:color w:val="063D5F" w:themeColor="accent1" w:themeShade="BF"/>
        </w:rPr>
      </w:pPr>
    </w:p>
    <w:p w14:paraId="4F20B6A1" w14:textId="4096773B" w:rsidR="009A181E" w:rsidRDefault="009A181E" w:rsidP="009A181E">
      <w:r w:rsidRPr="0047181F">
        <w:rPr>
          <w:b/>
          <w:bCs/>
          <w:color w:val="063D5F" w:themeColor="accent1" w:themeShade="BF"/>
        </w:rPr>
        <w:t>STATEMENT OF ASSUMPTIONS AND LIMITING CONDITIONS:</w:t>
      </w:r>
      <w:r w:rsidRPr="0047181F">
        <w:rPr>
          <w:color w:val="063D5F" w:themeColor="accent1" w:themeShade="BF"/>
        </w:rPr>
        <w:t xml:space="preserve"> </w:t>
      </w:r>
      <w:r>
        <w:t>The appraiser’s certification in this report is</w:t>
      </w:r>
      <w:r w:rsidR="0047181F">
        <w:t xml:space="preserve"> </w:t>
      </w:r>
      <w:r>
        <w:t>subject to the following assumptions and limiting conditions:</w:t>
      </w:r>
    </w:p>
    <w:p w14:paraId="498A6471" w14:textId="77777777" w:rsidR="0047181F" w:rsidRDefault="009A181E" w:rsidP="009A181E">
      <w:pPr>
        <w:pStyle w:val="Numberedlist"/>
      </w:pPr>
      <w:r>
        <w:t>The appraiser will not be responsible for matters of a legal nature that affect either the property being appraised or the title to it, except for information that he or she became aware of during the research involved in performing this appraisal. The appraiser assumes that the title is good and marketable and will not render any opinions about the title.</w:t>
      </w:r>
    </w:p>
    <w:p w14:paraId="1B47E302" w14:textId="77777777" w:rsidR="0047181F" w:rsidRDefault="009A181E" w:rsidP="009A181E">
      <w:pPr>
        <w:pStyle w:val="Numberedlist"/>
      </w:pPr>
      <w:r>
        <w:t>If the appraiser has included a floor plan in this appraisal report, it shows the approximate dimensions of the improvements. If included, the floor plan is included only to assist the reader in visualizing the property and understanding the appraiser’s determination of its size.</w:t>
      </w:r>
    </w:p>
    <w:p w14:paraId="4E0A4DB7" w14:textId="77777777" w:rsidR="0047181F" w:rsidRDefault="009A181E" w:rsidP="009A181E">
      <w:pPr>
        <w:pStyle w:val="Numberedlist"/>
      </w:pPr>
      <w:r>
        <w:t>The appraiser has relied on data provided by third</w:t>
      </w:r>
      <w:r w:rsidR="0047181F">
        <w:t xml:space="preserve"> </w:t>
      </w:r>
      <w:r>
        <w:t>parties in this appraisal report. Such data may include, but is not limited to, flood maps, multiple listing real estate services, tax assessment records, public land records, satellite imagery, virtual street views, property data services, surveys, engineering reports, and property data aggregations. After examination of the data and data sources, the appraiser has used only the data he or she considers reliable. The appraiser assumes there are no material omissions and makes no guarantees, express or implied, regarding the accuracy of this data.</w:t>
      </w:r>
    </w:p>
    <w:p w14:paraId="772C95F2" w14:textId="77777777" w:rsidR="0047181F" w:rsidRDefault="009A181E" w:rsidP="009A181E">
      <w:pPr>
        <w:pStyle w:val="Numberedlist"/>
      </w:pPr>
      <w:r>
        <w:t>The appraiser will not give testimony or appear in court because he or she made an appraisal of the property in question, unless specific arrangements to do so have been made beforehand, or as otherwise required by law.</w:t>
      </w:r>
    </w:p>
    <w:p w14:paraId="7F00278A" w14:textId="77777777" w:rsidR="0047181F" w:rsidRDefault="009A181E" w:rsidP="009A181E">
      <w:pPr>
        <w:pStyle w:val="Numberedlist"/>
      </w:pPr>
      <w:r>
        <w:t>The appraiser has noted in this appraisal report any adverse conditions (such as needed repairs, deterioration, the</w:t>
      </w:r>
      <w:r w:rsidR="0047181F">
        <w:t xml:space="preserve"> </w:t>
      </w:r>
      <w:r>
        <w:t>presence of hazardous wastes, toxic substances, etc.) that he or she became aware of during the research involved in performing this appraisal. Unless otherwise stated in this appraisal report, the appraiser has no knowledge of any hidden or unapparent physical deficiencies or adverse conditions of the property (such as, but not limited to, needed repairs, deterioration, the presence of hazardous wastes, toxic substances, adverse environmental conditions, etc.) that would make the property less valuable, and has assumed that there are no such conditions and makes no guarantees or warranties, express or implied. The appraiser will not be responsible for any such conditions that do exist or for any engineering or testing that might be required to discover whether such conditions exist. Because the appraiser is not an expert in the field of environmental hazards, this appraisal report must not be considered as an environmental assessment of the property.</w:t>
      </w:r>
    </w:p>
    <w:p w14:paraId="455A7192" w14:textId="39A52663" w:rsidR="009A181E" w:rsidRDefault="009A181E" w:rsidP="009A181E">
      <w:pPr>
        <w:pStyle w:val="Numberedlist"/>
      </w:pPr>
      <w:r>
        <w:t>The appraiser has based his or her appraisal report and valuation conclusion for an appraisal that is subject to satisfactory completion, repairs, or alterations on the assumption that the completion, repairs, or alterations of the subject property will be performed in a professional manner.</w:t>
      </w:r>
    </w:p>
    <w:p w14:paraId="1794548A" w14:textId="77777777" w:rsidR="0047181F" w:rsidRDefault="0047181F" w:rsidP="009A181E">
      <w:pPr>
        <w:rPr>
          <w:b/>
          <w:bCs/>
          <w:color w:val="063D5F" w:themeColor="accent1" w:themeShade="BF"/>
        </w:rPr>
      </w:pPr>
    </w:p>
    <w:p w14:paraId="263F7B44" w14:textId="26E711C2" w:rsidR="009A181E" w:rsidRDefault="009A181E" w:rsidP="009A181E">
      <w:r w:rsidRPr="0047181F">
        <w:rPr>
          <w:b/>
          <w:bCs/>
          <w:color w:val="063D5F" w:themeColor="accent1" w:themeShade="BF"/>
        </w:rPr>
        <w:t>APPRAISER’S CERTIFICATION:</w:t>
      </w:r>
      <w:r w:rsidRPr="0047181F">
        <w:rPr>
          <w:color w:val="063D5F" w:themeColor="accent1" w:themeShade="BF"/>
        </w:rPr>
        <w:t xml:space="preserve"> </w:t>
      </w:r>
      <w:r>
        <w:t>The Appraiser certifies and agrees that:</w:t>
      </w:r>
    </w:p>
    <w:p w14:paraId="73BABF9B" w14:textId="77777777" w:rsidR="0047181F" w:rsidRDefault="009A181E" w:rsidP="009A181E">
      <w:pPr>
        <w:pStyle w:val="Numberedlist"/>
        <w:numPr>
          <w:ilvl w:val="0"/>
          <w:numId w:val="31"/>
        </w:numPr>
      </w:pPr>
      <w:r>
        <w:t>I have, at a minimum, developed and reported this appraisal in accordance with the scope of work requirements stated in this appraisal report.</w:t>
      </w:r>
    </w:p>
    <w:p w14:paraId="6BC26206" w14:textId="7BC250C9" w:rsidR="0047181F" w:rsidRDefault="009A181E" w:rsidP="009A181E">
      <w:pPr>
        <w:pStyle w:val="Numberedlist"/>
        <w:numPr>
          <w:ilvl w:val="0"/>
          <w:numId w:val="31"/>
        </w:numPr>
      </w:pPr>
      <w:r>
        <w:t>I did not perform a personal visual inspection of the subject property as part of this appraisal assignment. I reported the condition of the improvements in factual, specific terms, relying on subject property information from third</w:t>
      </w:r>
      <w:r w:rsidR="009C0AB2">
        <w:t>-</w:t>
      </w:r>
      <w:r>
        <w:t>party data sources. I reported the physical deficiencies that could affect the livability, soundness, or structural integrity of the property.</w:t>
      </w:r>
    </w:p>
    <w:p w14:paraId="20CF2F0D" w14:textId="77777777" w:rsidR="00755E64" w:rsidRDefault="009A181E" w:rsidP="009A181E">
      <w:pPr>
        <w:pStyle w:val="Numberedlist"/>
        <w:numPr>
          <w:ilvl w:val="0"/>
          <w:numId w:val="31"/>
        </w:numPr>
      </w:pPr>
      <w:r>
        <w:t>I performed this appraisal in accordance with the requirements of the Uniform Standards of Professional Appraisal</w:t>
      </w:r>
      <w:r w:rsidR="0047181F">
        <w:t xml:space="preserve"> </w:t>
      </w:r>
      <w:r>
        <w:t>Practice that were adopted and promulgated by the Appraisal Standards Board of The Appraisal Foundation and that were in place at the time this appraisal report was prepared.</w:t>
      </w:r>
    </w:p>
    <w:p w14:paraId="475C0FF7" w14:textId="77777777" w:rsidR="00755E64" w:rsidRDefault="009A181E" w:rsidP="009A181E">
      <w:pPr>
        <w:pStyle w:val="Numberedlist"/>
        <w:numPr>
          <w:ilvl w:val="0"/>
          <w:numId w:val="31"/>
        </w:numPr>
      </w:pPr>
      <w:r>
        <w:lastRenderedPageBreak/>
        <w:t>I developed my opinion of the market value of the real property or cooperative interest (where applicable) that is the subject of this report based on the sales</w:t>
      </w:r>
      <w:r w:rsidR="00755E64">
        <w:t xml:space="preserve"> </w:t>
      </w:r>
      <w:r>
        <w:t>comparison approach to value. I have adequate comparable market data to develop a reliable sales comparison approach for this appraisal assignment. I further certify that I considered the cost and income approaches to value but did not develop them, unless otherwise indicated in this report.</w:t>
      </w:r>
    </w:p>
    <w:p w14:paraId="110D112F" w14:textId="77777777" w:rsidR="00755E64" w:rsidRDefault="009A181E" w:rsidP="009A181E">
      <w:pPr>
        <w:pStyle w:val="Numberedlist"/>
        <w:numPr>
          <w:ilvl w:val="0"/>
          <w:numId w:val="31"/>
        </w:numPr>
      </w:pPr>
      <w:r>
        <w:t>I researched, verified, analyzed, and reported on any current agreement for sale for the subject property, any offering for sale of the subject property in the twelve months prior to the effective date of this appraisal, and the prior sales of the subject property for a minimum of three years prior to the effective date of this appraisal, unless otherwise indicated in this report.</w:t>
      </w:r>
    </w:p>
    <w:p w14:paraId="2A9400AB" w14:textId="77777777" w:rsidR="00755E64" w:rsidRDefault="009A181E" w:rsidP="009A181E">
      <w:pPr>
        <w:pStyle w:val="Numberedlist"/>
        <w:numPr>
          <w:ilvl w:val="0"/>
          <w:numId w:val="31"/>
        </w:numPr>
      </w:pPr>
      <w:r>
        <w:t>I researched, verified, analyzed, and reported on the prior sales of the comparable sales for a minimum of one year prior to the date of sale of the comparable sale, unless otherwise indicated in this report.</w:t>
      </w:r>
    </w:p>
    <w:p w14:paraId="38ABF755" w14:textId="77777777" w:rsidR="00755E64" w:rsidRDefault="009A181E" w:rsidP="009A181E">
      <w:pPr>
        <w:pStyle w:val="Numberedlist"/>
        <w:numPr>
          <w:ilvl w:val="0"/>
          <w:numId w:val="31"/>
        </w:numPr>
      </w:pPr>
      <w:r>
        <w:t xml:space="preserve">I selected and used comparable sales that are </w:t>
      </w:r>
      <w:proofErr w:type="spellStart"/>
      <w:r>
        <w:t>locationally</w:t>
      </w:r>
      <w:proofErr w:type="spellEnd"/>
      <w:r>
        <w:t>, physically, and functionally the most similar to the subject property.</w:t>
      </w:r>
    </w:p>
    <w:p w14:paraId="2EC4C508" w14:textId="77777777" w:rsidR="00755E64" w:rsidRDefault="009A181E" w:rsidP="009A181E">
      <w:pPr>
        <w:pStyle w:val="Numberedlist"/>
        <w:numPr>
          <w:ilvl w:val="0"/>
          <w:numId w:val="31"/>
        </w:numPr>
      </w:pPr>
      <w:r>
        <w:t>I have not used comparable sales that were the result of combining a land sale with the contract purchase price of a home that has been built or will be built on the land.</w:t>
      </w:r>
    </w:p>
    <w:p w14:paraId="24A367E1" w14:textId="77777777" w:rsidR="00755E64" w:rsidRDefault="009A181E" w:rsidP="009A181E">
      <w:pPr>
        <w:pStyle w:val="Numberedlist"/>
        <w:numPr>
          <w:ilvl w:val="0"/>
          <w:numId w:val="31"/>
        </w:numPr>
      </w:pPr>
      <w:r>
        <w:t>I have reported adjustments to the comparable sales that reflect the market's reaction to the differences between the subject property and the comparable sales.</w:t>
      </w:r>
    </w:p>
    <w:p w14:paraId="47EBF1B0" w14:textId="77777777" w:rsidR="00755E64" w:rsidRDefault="009A181E" w:rsidP="009A181E">
      <w:pPr>
        <w:pStyle w:val="Numberedlist"/>
        <w:numPr>
          <w:ilvl w:val="0"/>
          <w:numId w:val="31"/>
        </w:numPr>
      </w:pPr>
      <w:r>
        <w:t>[RESERVED]</w:t>
      </w:r>
    </w:p>
    <w:p w14:paraId="5B2CA566" w14:textId="77777777" w:rsidR="00755E64" w:rsidRDefault="009A181E" w:rsidP="009A181E">
      <w:pPr>
        <w:pStyle w:val="Numberedlist"/>
        <w:numPr>
          <w:ilvl w:val="0"/>
          <w:numId w:val="31"/>
        </w:numPr>
      </w:pPr>
      <w:r>
        <w:t>I have knowledge and experience in appraising this type of property in this market area.</w:t>
      </w:r>
    </w:p>
    <w:p w14:paraId="1AAE7922" w14:textId="77777777" w:rsidR="00755E64" w:rsidRDefault="009A181E" w:rsidP="009A181E">
      <w:pPr>
        <w:pStyle w:val="Numberedlist"/>
        <w:numPr>
          <w:ilvl w:val="0"/>
          <w:numId w:val="31"/>
        </w:numPr>
      </w:pPr>
      <w:r>
        <w:t>I am aware of, and have access to, the necessary and appropriate public and private data sources, such as multiple listing services, tax assessment records, public land records and other such data sources for the area in which the property is located.</w:t>
      </w:r>
    </w:p>
    <w:p w14:paraId="30A4F38E" w14:textId="77777777" w:rsidR="00755E64" w:rsidRDefault="009A181E" w:rsidP="009A181E">
      <w:pPr>
        <w:pStyle w:val="Numberedlist"/>
        <w:numPr>
          <w:ilvl w:val="0"/>
          <w:numId w:val="31"/>
        </w:numPr>
      </w:pPr>
      <w:r>
        <w:t>I obtained the information, estimates, and opinions furnished by other parties and expressed in this appraisal report from reliable sources that I believe to be true and correct.</w:t>
      </w:r>
    </w:p>
    <w:p w14:paraId="3087718D" w14:textId="77777777" w:rsidR="00755E64" w:rsidRDefault="009A181E" w:rsidP="009A181E">
      <w:pPr>
        <w:pStyle w:val="Numberedlist"/>
        <w:numPr>
          <w:ilvl w:val="0"/>
          <w:numId w:val="31"/>
        </w:numPr>
      </w:pPr>
      <w:r>
        <w:t>I have taken into consideration the factors that have an impact on value with respect to the subject neighborhood, including the subject project (where applicable), subject property, and the proximity of the subject property to adverse influences in the development of my opinion of market value. I have noted in this appraisal report any adverse conditions (such as, but not limited to, needed repairs, deterioration, the presence of hazardous wastes, toxic substances, adverse environmental conditions, etc.) that I became aware of during the research involved in performing this appraisal. I have considered these adverse conditions in my analysis of the property value, and have reported on the effect of the conditions on the value and marketability of the subject property.</w:t>
      </w:r>
    </w:p>
    <w:p w14:paraId="6CD1DE3F" w14:textId="77777777" w:rsidR="00755E64" w:rsidRDefault="009A181E" w:rsidP="009A181E">
      <w:pPr>
        <w:pStyle w:val="Numberedlist"/>
        <w:numPr>
          <w:ilvl w:val="0"/>
          <w:numId w:val="31"/>
        </w:numPr>
      </w:pPr>
      <w:r>
        <w:t>I have not knowingly withheld any significant information from this appraisal report and, to the best of my knowledge, all statements and information in this appraisal report are true and correct.</w:t>
      </w:r>
    </w:p>
    <w:p w14:paraId="2DB318F7" w14:textId="77777777" w:rsidR="00755E64" w:rsidRDefault="009A181E" w:rsidP="009A181E">
      <w:pPr>
        <w:pStyle w:val="Numberedlist"/>
        <w:numPr>
          <w:ilvl w:val="0"/>
          <w:numId w:val="31"/>
        </w:numPr>
      </w:pPr>
      <w:r>
        <w:t>I stated in this appraisal report my own personal, unbiased, and professional analysis, opinions, and conclusions, which are subject only to the assumptions and limiting conditions in this appraisal report.</w:t>
      </w:r>
    </w:p>
    <w:p w14:paraId="73FD2B7E" w14:textId="77777777" w:rsidR="00755E64" w:rsidRDefault="009A181E" w:rsidP="009A181E">
      <w:pPr>
        <w:pStyle w:val="Numberedlist"/>
        <w:numPr>
          <w:ilvl w:val="0"/>
          <w:numId w:val="31"/>
        </w:numPr>
      </w:pPr>
      <w:r>
        <w:t>I have no present or prospective interest in the property that is the subject of this report, and I have no present or</w:t>
      </w:r>
      <w:r w:rsidR="00755E64">
        <w:t xml:space="preserve"> </w:t>
      </w:r>
      <w:r>
        <w:t>prospective personal interest or bias with respect to the participants in the transaction. I did not base, either partially or completely, my analysis and/or opinion of market value in this appraisal report on the race, color, religion, sex, age, marital status, handicap, familial status, or national origin of either the prospective owners or occupants of the subject property or of the present owners or occupants of the properties in the vicinity of the subject property or on any other basis prohibited by law.</w:t>
      </w:r>
    </w:p>
    <w:p w14:paraId="72E49B51" w14:textId="77777777" w:rsidR="00755E64" w:rsidRDefault="009A181E" w:rsidP="009A181E">
      <w:pPr>
        <w:pStyle w:val="Numberedlist"/>
        <w:numPr>
          <w:ilvl w:val="0"/>
          <w:numId w:val="31"/>
        </w:numPr>
      </w:pPr>
      <w:r>
        <w:t>My employment and/or compensation for performing this appraisal or any future or anticipated appraisals was not</w:t>
      </w:r>
      <w:r w:rsidR="00755E64">
        <w:t xml:space="preserve"> </w:t>
      </w:r>
      <w:r>
        <w:t>conditioned on any agreement or understanding, written or otherwise, that I would report (or present analysis supporting) a predetermined specific value, a predetermined minimum value, a range or direction in value, a value that favors the cause of any party, or the attainment of a specific result or occurrence of a specific subsequent event (such as approval of a pending mortgage loan application).</w:t>
      </w:r>
    </w:p>
    <w:p w14:paraId="7B61C7E0" w14:textId="77777777" w:rsidR="00755E64" w:rsidRDefault="009A181E" w:rsidP="009A181E">
      <w:pPr>
        <w:pStyle w:val="Numberedlist"/>
        <w:numPr>
          <w:ilvl w:val="0"/>
          <w:numId w:val="31"/>
        </w:numPr>
      </w:pPr>
      <w:r>
        <w:lastRenderedPageBreak/>
        <w:t>I personally prepared all conclusions and opinions about the real estate or cooperative interest (where applicable) that were set forth in this appraisal report. If I relied on significant real property appraisal assistance from any individual or individuals in the performance of this appraisal or the preparation of this appraisal report, I have named such individual(s) and disclosed the specific tasks performed in this appraisal report. I certify that any individual so named is qualified to perform the tasks. I have not authorized anyone to make a change to any item in this appraisal report; therefore, any change made to this appraisal is unauthorized and I will take no responsibility for it.</w:t>
      </w:r>
    </w:p>
    <w:p w14:paraId="216B7F47" w14:textId="77777777" w:rsidR="00755E64" w:rsidRDefault="009A181E" w:rsidP="009A181E">
      <w:pPr>
        <w:pStyle w:val="Numberedlist"/>
        <w:numPr>
          <w:ilvl w:val="0"/>
          <w:numId w:val="31"/>
        </w:numPr>
      </w:pPr>
      <w:r>
        <w:t>I identified the lender/client in this appraisal report who is the individual, organization, or agent for the organization that ordered and will receive this appraisal report.</w:t>
      </w:r>
    </w:p>
    <w:p w14:paraId="6A2439B9" w14:textId="77777777" w:rsidR="00755E64" w:rsidRDefault="009A181E" w:rsidP="009A181E">
      <w:pPr>
        <w:pStyle w:val="Numberedlist"/>
        <w:numPr>
          <w:ilvl w:val="0"/>
          <w:numId w:val="31"/>
        </w:numPr>
      </w:pPr>
      <w:r>
        <w:t>The lender/client may disclose or distribute this appraisal report to: the borrower; another lender at the request of the</w:t>
      </w:r>
      <w:r w:rsidR="00755E64">
        <w:t xml:space="preserve"> </w:t>
      </w:r>
      <w:r>
        <w:t>borrower; the mortgagee or its successors and assigns; mortgage insurers; government sponsored enterprises; other secondary market participants; data collection or reporting services; professional appraisal organizations; any department,</w:t>
      </w:r>
      <w:r w:rsidR="00755E64">
        <w:t xml:space="preserve"> </w:t>
      </w:r>
      <w:r>
        <w:t>agency, or instrumentality of the United States; and any state, the District of Columbia, or other jurisdictions; without having to</w:t>
      </w:r>
      <w:r w:rsidR="00755E64">
        <w:t xml:space="preserve"> </w:t>
      </w:r>
      <w:r>
        <w:t>obtain the appraiser’s or supervisory appraiser’s (if applicable) consent. Such consent must be obtained before this appraisal</w:t>
      </w:r>
      <w:r w:rsidR="00755E64">
        <w:t xml:space="preserve"> </w:t>
      </w:r>
      <w:r>
        <w:t>report may be disclosed or distributed to any other party (including, but not limited to, the public through advertising, public</w:t>
      </w:r>
      <w:r w:rsidR="00755E64">
        <w:t xml:space="preserve"> </w:t>
      </w:r>
      <w:r>
        <w:t>relations, news, sales, or other media).</w:t>
      </w:r>
    </w:p>
    <w:p w14:paraId="4ADDFCF5" w14:textId="77777777" w:rsidR="00755E64" w:rsidRDefault="009A181E" w:rsidP="009A181E">
      <w:pPr>
        <w:pStyle w:val="Numberedlist"/>
        <w:numPr>
          <w:ilvl w:val="0"/>
          <w:numId w:val="31"/>
        </w:numPr>
      </w:pPr>
      <w:r>
        <w:t>I am aware that any disclosure or distribution of this appraisal report by me or the lender/client may be subject to certain</w:t>
      </w:r>
      <w:r w:rsidR="00755E64">
        <w:t xml:space="preserve"> </w:t>
      </w:r>
      <w:r>
        <w:t>laws and regulations. Further, I am also subject to the provisions of the Uniform Standards of Professional Appraisal Practice</w:t>
      </w:r>
      <w:r w:rsidR="00755E64">
        <w:t xml:space="preserve"> </w:t>
      </w:r>
      <w:r>
        <w:t>that pertain to disclosure or distribution by me.</w:t>
      </w:r>
    </w:p>
    <w:p w14:paraId="045439E8" w14:textId="77777777" w:rsidR="00E53800" w:rsidRDefault="009A181E" w:rsidP="009A181E">
      <w:pPr>
        <w:pStyle w:val="Numberedlist"/>
        <w:numPr>
          <w:ilvl w:val="0"/>
          <w:numId w:val="31"/>
        </w:numPr>
      </w:pPr>
      <w:r>
        <w:t>The borrower, another lender at the request of the borrower, the mortgagee or its successors and assigns, mortgage</w:t>
      </w:r>
      <w:r w:rsidR="00755E64">
        <w:t xml:space="preserve"> </w:t>
      </w:r>
      <w:r>
        <w:t>insurers, government sponsored enterprises, and other secondary market participants may rely on this appraisal report as part</w:t>
      </w:r>
      <w:r w:rsidR="00755E64">
        <w:t xml:space="preserve"> </w:t>
      </w:r>
      <w:r>
        <w:t>of any mortgage finance transaction that involves any one or more of these parties.</w:t>
      </w:r>
    </w:p>
    <w:p w14:paraId="6D7A093C" w14:textId="77777777" w:rsidR="00176A1C" w:rsidRDefault="009A181E" w:rsidP="009A181E">
      <w:pPr>
        <w:pStyle w:val="Numberedlist"/>
        <w:numPr>
          <w:ilvl w:val="0"/>
          <w:numId w:val="31"/>
        </w:numPr>
      </w:pPr>
      <w:r>
        <w:t>If this appraisal report was transmitted as an “electronic record” containing my “electronic signature,” as those terms are</w:t>
      </w:r>
      <w:r w:rsidR="00E53800">
        <w:t xml:space="preserve"> </w:t>
      </w:r>
      <w:r>
        <w:t>defined in applicable federal and/or state laws (excluding audio and video recordings), or a facsimile transmission of this</w:t>
      </w:r>
      <w:r w:rsidR="00E53800">
        <w:t xml:space="preserve"> </w:t>
      </w:r>
      <w:r>
        <w:t>appraisal report containing a copy or representation of my signature, the appraisal report shall be as effective, enforceable and</w:t>
      </w:r>
      <w:r w:rsidR="00E53800">
        <w:t xml:space="preserve"> </w:t>
      </w:r>
      <w:r>
        <w:t>valid as if a paper version of this appraisal report were delivered containing my original hand written signature.</w:t>
      </w:r>
    </w:p>
    <w:p w14:paraId="799D8678" w14:textId="41B9A723" w:rsidR="009A181E" w:rsidRDefault="009A181E" w:rsidP="002A38B1">
      <w:pPr>
        <w:pStyle w:val="Numberedlist"/>
        <w:numPr>
          <w:ilvl w:val="0"/>
          <w:numId w:val="31"/>
        </w:numPr>
      </w:pPr>
      <w:r>
        <w:t>Any intentional or negligent misrepresentation(s) contained in this appraisal report may result in civil liability and/or</w:t>
      </w:r>
      <w:r w:rsidR="00176A1C">
        <w:t xml:space="preserve"> </w:t>
      </w:r>
      <w:r>
        <w:t>criminal penalties including, but not limited to, fine or imprisonment or both under the provisions of Title 18, United States</w:t>
      </w:r>
      <w:r w:rsidR="00176A1C">
        <w:t xml:space="preserve"> </w:t>
      </w:r>
      <w:r>
        <w:t>Code, Section 1001, et seq., or similar state laws.</w:t>
      </w:r>
    </w:p>
    <w:p w14:paraId="28874643" w14:textId="77777777" w:rsidR="00176A1C" w:rsidRDefault="00176A1C" w:rsidP="009A181E"/>
    <w:p w14:paraId="4E458BB8" w14:textId="67D9C5D4" w:rsidR="009A181E" w:rsidRDefault="009A181E" w:rsidP="009A181E">
      <w:r w:rsidRPr="00176A1C">
        <w:rPr>
          <w:b/>
          <w:bCs/>
          <w:color w:val="063D5F" w:themeColor="accent1" w:themeShade="BF"/>
        </w:rPr>
        <w:t xml:space="preserve">SUPERVISORY APPRAISER’S CERTIFICATION: </w:t>
      </w:r>
      <w:r>
        <w:t>The Supervisory Appraiser certifies and agrees that:</w:t>
      </w:r>
    </w:p>
    <w:p w14:paraId="038EA995" w14:textId="77777777" w:rsidR="00176A1C" w:rsidRDefault="009A181E" w:rsidP="009A181E">
      <w:pPr>
        <w:pStyle w:val="Numberedlist"/>
        <w:numPr>
          <w:ilvl w:val="0"/>
          <w:numId w:val="32"/>
        </w:numPr>
      </w:pPr>
      <w:r>
        <w:t>I directly supervised the appraiser for this appraisal assignment, have read the appraisal report, and agree with the appraiser’s analysis, opinions, statements, conclusions, and the appraiser’s certification.</w:t>
      </w:r>
    </w:p>
    <w:p w14:paraId="5B384F91" w14:textId="77777777" w:rsidR="00176A1C" w:rsidRDefault="009A181E" w:rsidP="009A181E">
      <w:pPr>
        <w:pStyle w:val="Numberedlist"/>
        <w:numPr>
          <w:ilvl w:val="0"/>
          <w:numId w:val="32"/>
        </w:numPr>
      </w:pPr>
      <w:r>
        <w:t>I accept full responsibility for the contents of this appraisal report including, but not limited to, the appraiser’s analysis, opinions, statements, conclusions, and the appraiser’s certification.</w:t>
      </w:r>
    </w:p>
    <w:p w14:paraId="4E8F075D" w14:textId="77777777" w:rsidR="00176A1C" w:rsidRDefault="009A181E" w:rsidP="009A181E">
      <w:pPr>
        <w:pStyle w:val="Numberedlist"/>
        <w:numPr>
          <w:ilvl w:val="0"/>
          <w:numId w:val="32"/>
        </w:numPr>
      </w:pPr>
      <w:r>
        <w:t>The appraiser identified in this appraisal report is either a sub-contractor or an employee of the supervisory appraiser (or the</w:t>
      </w:r>
      <w:r w:rsidR="00176A1C">
        <w:t xml:space="preserve"> </w:t>
      </w:r>
      <w:r>
        <w:t>appraisal firm), is qualified to perform this appraisal, and is acceptable to perform this appraisal under the applicable state law.</w:t>
      </w:r>
    </w:p>
    <w:p w14:paraId="7226A082" w14:textId="77777777" w:rsidR="00176A1C" w:rsidRDefault="009A181E" w:rsidP="009A181E">
      <w:pPr>
        <w:pStyle w:val="Numberedlist"/>
        <w:numPr>
          <w:ilvl w:val="0"/>
          <w:numId w:val="32"/>
        </w:numPr>
      </w:pPr>
      <w:r>
        <w:t>This appraisal report complies with the Uniform Standards of Professional Appraisal Practice that were adopted and</w:t>
      </w:r>
      <w:r w:rsidR="00176A1C">
        <w:t xml:space="preserve"> </w:t>
      </w:r>
      <w:r>
        <w:t>promulgated by the Appraisal Standards Board of The Appraisal Foundation and that were in place at the time this appraisal</w:t>
      </w:r>
      <w:r w:rsidR="00176A1C">
        <w:t xml:space="preserve"> </w:t>
      </w:r>
      <w:r>
        <w:t>report was prepared.</w:t>
      </w:r>
    </w:p>
    <w:p w14:paraId="3B5484B6" w14:textId="3453E9CD" w:rsidR="009A181E" w:rsidRPr="009A181E" w:rsidRDefault="009A181E" w:rsidP="00C35DDD">
      <w:pPr>
        <w:pStyle w:val="Numberedlist"/>
        <w:numPr>
          <w:ilvl w:val="0"/>
          <w:numId w:val="32"/>
        </w:numPr>
      </w:pPr>
      <w:r>
        <w:t>If this appraisal report was transmitted as an “electronic record” containing my “electronic signature,” as those terms are</w:t>
      </w:r>
      <w:r w:rsidR="00176A1C">
        <w:t xml:space="preserve"> </w:t>
      </w:r>
      <w:r>
        <w:t>defined in applicable federal and/or state laws (excluding audio and video recordings), or a facsimile transmission of this</w:t>
      </w:r>
      <w:r w:rsidR="00176A1C">
        <w:t xml:space="preserve"> </w:t>
      </w:r>
      <w:r>
        <w:t>appraisal report containing a copy or representation of my signature, the appraisal report shall be as effective, enforceable and</w:t>
      </w:r>
      <w:r w:rsidR="00176A1C">
        <w:t xml:space="preserve"> </w:t>
      </w:r>
      <w:r>
        <w:t>valid as if a paper version of this appraisal report were delivered containing my original hand written signature.</w:t>
      </w:r>
    </w:p>
    <w:sectPr w:rsidR="009A181E" w:rsidRPr="009A181E" w:rsidSect="00200CC1">
      <w:headerReference w:type="default" r:id="rId11"/>
      <w:footerReference w:type="default" r:id="rId12"/>
      <w:headerReference w:type="first" r:id="rId13"/>
      <w:footerReference w:type="first" r:id="rId14"/>
      <w:type w:val="continuous"/>
      <w:pgSz w:w="12240" w:h="15840"/>
      <w:pgMar w:top="144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7125" w14:textId="77777777" w:rsidR="0017184B" w:rsidRDefault="0017184B" w:rsidP="00315E97">
      <w:r>
        <w:separator/>
      </w:r>
    </w:p>
  </w:endnote>
  <w:endnote w:type="continuationSeparator" w:id="0">
    <w:p w14:paraId="06C51B8F" w14:textId="77777777" w:rsidR="0017184B" w:rsidRDefault="0017184B" w:rsidP="0031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ource Sans Pro Bold">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7696" w14:textId="603A3413" w:rsidR="0079350A" w:rsidRPr="00E45E19" w:rsidRDefault="0027517D" w:rsidP="005213BB">
    <w:pPr>
      <w:pStyle w:val="Footer"/>
      <w:tabs>
        <w:tab w:val="clear" w:pos="4680"/>
        <w:tab w:val="clear" w:pos="9360"/>
        <w:tab w:val="right" w:pos="10800"/>
      </w:tabs>
      <w:rPr>
        <w:sz w:val="18"/>
        <w:szCs w:val="18"/>
      </w:rPr>
    </w:pPr>
    <w:r w:rsidRPr="00126DC8">
      <w:rPr>
        <w:noProof/>
        <w:sz w:val="18"/>
        <w:szCs w:val="18"/>
      </w:rPr>
      <mc:AlternateContent>
        <mc:Choice Requires="wps">
          <w:drawing>
            <wp:anchor distT="0" distB="0" distL="114300" distR="114300" simplePos="0" relativeHeight="251669504" behindDoc="1" locked="0" layoutInCell="1" allowOverlap="1" wp14:anchorId="33ECA428" wp14:editId="2D84C7DE">
              <wp:simplePos x="0" y="0"/>
              <wp:positionH relativeFrom="margin">
                <wp:align>left</wp:align>
              </wp:positionH>
              <wp:positionV relativeFrom="paragraph">
                <wp:posOffset>107860</wp:posOffset>
              </wp:positionV>
              <wp:extent cx="458787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noFill/>
                        <a:miter lim="800000"/>
                        <a:headEnd/>
                        <a:tailEnd/>
                      </a:ln>
                    </wps:spPr>
                    <wps:txbx>
                      <w:txbxContent>
                        <w:p w14:paraId="6F15AA6E" w14:textId="7666A8D7" w:rsidR="0027517D" w:rsidRDefault="0027517D" w:rsidP="0027517D">
                          <w:r w:rsidRPr="00126DC8">
                            <w:rPr>
                              <w:sz w:val="18"/>
                              <w:szCs w:val="18"/>
                            </w:rPr>
                            <w:t xml:space="preserve">For Desktop Appraisals Using COVID-19 Temporary Flexibilities and Reported on Fannie Mae Form 1004, 1073, 1025, 1004C, </w:t>
                          </w:r>
                          <w:r w:rsidR="00534AC9">
                            <w:rPr>
                              <w:sz w:val="18"/>
                              <w:szCs w:val="18"/>
                            </w:rPr>
                            <w:t xml:space="preserve">or </w:t>
                          </w:r>
                          <w:r w:rsidRPr="00126DC8">
                            <w:rPr>
                              <w:sz w:val="18"/>
                              <w:szCs w:val="18"/>
                            </w:rPr>
                            <w:t>2090</w:t>
                          </w:r>
                        </w:p>
                      </w:txbxContent>
                    </wps:txbx>
                    <wps:bodyPr rot="0" vert="horz" wrap="square" lIns="91440" tIns="45720" rIns="91440" bIns="45720" anchor="t" anchorCtr="0">
                      <a:spAutoFit/>
                    </wps:bodyPr>
                  </wps:wsp>
                </a:graphicData>
              </a:graphic>
            </wp:anchor>
          </w:drawing>
        </mc:Choice>
        <mc:Fallback>
          <w:pict>
            <v:shapetype w14:anchorId="33ECA428" id="_x0000_t202" coordsize="21600,21600" o:spt="202" path="m,l,21600r21600,l21600,xe">
              <v:stroke joinstyle="miter"/>
              <v:path gradientshapeok="t" o:connecttype="rect"/>
            </v:shapetype>
            <v:shape id="Text Box 2" o:spid="_x0000_s1027" type="#_x0000_t202" style="position:absolute;margin-left:0;margin-top:8.5pt;width:361.25pt;height:110.6pt;z-index:-251646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" stroked="f">
              <v:textbox style="mso-fit-shape-to-text:t">
                <w:txbxContent>
                  <w:p w14:paraId="6F15AA6E" w14:textId="7666A8D7" w:rsidR="0027517D" w:rsidRDefault="0027517D" w:rsidP="0027517D">
                    <w:r w:rsidRPr="00126DC8">
                      <w:rPr>
                        <w:sz w:val="18"/>
                        <w:szCs w:val="18"/>
                      </w:rPr>
                      <w:t xml:space="preserve">For Desktop Appraisals Using COVID-19 Temporary Flexibilities and Reported on Fannie Mae Form 1004, 1073, 1025, 1004C, </w:t>
                    </w:r>
                    <w:r w:rsidR="00534AC9">
                      <w:rPr>
                        <w:sz w:val="18"/>
                        <w:szCs w:val="18"/>
                      </w:rPr>
                      <w:t xml:space="preserve">or </w:t>
                    </w:r>
                    <w:r w:rsidRPr="00126DC8">
                      <w:rPr>
                        <w:sz w:val="18"/>
                        <w:szCs w:val="18"/>
                      </w:rPr>
                      <w:t>2090</w:t>
                    </w:r>
                  </w:p>
                </w:txbxContent>
              </v:textbox>
              <w10:wrap type="square" anchorx="margin"/>
            </v:shape>
          </w:pict>
        </mc:Fallback>
      </mc:AlternateContent>
    </w:r>
    <w:r w:rsidR="00D243DE" w:rsidRPr="00E45E19">
      <w:rPr>
        <w:noProof/>
        <w:sz w:val="18"/>
        <w:szCs w:val="18"/>
      </w:rPr>
      <w:tab/>
      <w:t>© 20</w:t>
    </w:r>
    <w:r w:rsidR="00ED11F9">
      <w:rPr>
        <w:noProof/>
        <w:sz w:val="18"/>
        <w:szCs w:val="18"/>
      </w:rPr>
      <w:t>20</w:t>
    </w:r>
    <w:r w:rsidR="00D243DE" w:rsidRPr="00E45E19">
      <w:rPr>
        <w:noProof/>
        <w:sz w:val="18"/>
        <w:szCs w:val="18"/>
      </w:rPr>
      <w:t xml:space="preserve"> Fannie Mae    </w:t>
    </w:r>
    <w:r w:rsidR="009007F4">
      <w:rPr>
        <w:noProof/>
        <w:sz w:val="18"/>
        <w:szCs w:val="18"/>
      </w:rPr>
      <w:t>3.2</w:t>
    </w:r>
    <w:r w:rsidR="0047181F">
      <w:rPr>
        <w:noProof/>
        <w:sz w:val="18"/>
        <w:szCs w:val="18"/>
      </w:rPr>
      <w:t>3</w:t>
    </w:r>
    <w:r w:rsidR="009007F4">
      <w:rPr>
        <w:noProof/>
        <w:sz w:val="18"/>
        <w:szCs w:val="18"/>
      </w:rPr>
      <w:t>.2020</w:t>
    </w:r>
    <w:r w:rsidR="00DB15FA" w:rsidRPr="00E45E19">
      <w:rPr>
        <w:noProof/>
        <w:sz w:val="18"/>
        <w:szCs w:val="18"/>
      </w:rPr>
      <w:t xml:space="preserve">     </w:t>
    </w:r>
    <w:r w:rsidR="00D243DE"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00D243DE"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A42A" w14:textId="41FA3CF4" w:rsidR="0079350A" w:rsidRPr="00E45E19" w:rsidRDefault="00126DC8" w:rsidP="005213BB">
    <w:pPr>
      <w:pStyle w:val="Footer"/>
      <w:tabs>
        <w:tab w:val="clear" w:pos="4680"/>
        <w:tab w:val="clear" w:pos="9360"/>
        <w:tab w:val="right" w:pos="10800"/>
      </w:tabs>
      <w:rPr>
        <w:sz w:val="18"/>
        <w:szCs w:val="18"/>
      </w:rPr>
    </w:pPr>
    <w:r w:rsidRPr="00126DC8">
      <w:rPr>
        <w:noProof/>
        <w:sz w:val="18"/>
        <w:szCs w:val="18"/>
      </w:rPr>
      <mc:AlternateContent>
        <mc:Choice Requires="wps">
          <w:drawing>
            <wp:anchor distT="0" distB="0" distL="114300" distR="114300" simplePos="0" relativeHeight="251667456" behindDoc="1" locked="0" layoutInCell="1" allowOverlap="1" wp14:anchorId="1757DB0F" wp14:editId="16697BD6">
              <wp:simplePos x="0" y="0"/>
              <wp:positionH relativeFrom="margin">
                <wp:align>left</wp:align>
              </wp:positionH>
              <wp:positionV relativeFrom="paragraph">
                <wp:posOffset>110853</wp:posOffset>
              </wp:positionV>
              <wp:extent cx="4587875"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404620"/>
                      </a:xfrm>
                      <a:prstGeom prst="rect">
                        <a:avLst/>
                      </a:prstGeom>
                      <a:solidFill>
                        <a:srgbClr val="FFFFFF"/>
                      </a:solidFill>
                      <a:ln w="9525">
                        <a:noFill/>
                        <a:miter lim="800000"/>
                        <a:headEnd/>
                        <a:tailEnd/>
                      </a:ln>
                    </wps:spPr>
                    <wps:txbx>
                      <w:txbxContent>
                        <w:p w14:paraId="70CFB9B7" w14:textId="4CA0C277" w:rsidR="00126DC8" w:rsidRDefault="00126DC8">
                          <w:r w:rsidRPr="00126DC8">
                            <w:rPr>
                              <w:sz w:val="18"/>
                              <w:szCs w:val="18"/>
                            </w:rPr>
                            <w:t xml:space="preserve">For Desktop Appraisals Using COVID-19 Temporary Flexibilities and Reported on Fannie Mae Form 1004, 1073, 1025, 1004C, </w:t>
                          </w:r>
                          <w:r w:rsidR="00534AC9">
                            <w:rPr>
                              <w:sz w:val="18"/>
                              <w:szCs w:val="18"/>
                            </w:rPr>
                            <w:t xml:space="preserve">or </w:t>
                          </w:r>
                          <w:r w:rsidRPr="00126DC8">
                            <w:rPr>
                              <w:sz w:val="18"/>
                              <w:szCs w:val="18"/>
                            </w:rPr>
                            <w:t>2090</w:t>
                          </w:r>
                        </w:p>
                      </w:txbxContent>
                    </wps:txbx>
                    <wps:bodyPr rot="0" vert="horz" wrap="square" lIns="91440" tIns="45720" rIns="91440" bIns="45720" anchor="t" anchorCtr="0">
                      <a:spAutoFit/>
                    </wps:bodyPr>
                  </wps:wsp>
                </a:graphicData>
              </a:graphic>
            </wp:anchor>
          </w:drawing>
        </mc:Choice>
        <mc:Fallback>
          <w:pict>
            <v:shapetype w14:anchorId="1757DB0F" id="_x0000_t202" coordsize="21600,21600" o:spt="202" path="m,l,21600r21600,l21600,xe">
              <v:stroke joinstyle="miter"/>
              <v:path gradientshapeok="t" o:connecttype="rect"/>
            </v:shapetype>
            <v:shape id="_x0000_s1028" type="#_x0000_t202" style="position:absolute;margin-left:0;margin-top:8.75pt;width:361.25pt;height:110.6pt;z-index:-2516490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4AJAIAACU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" stroked="f">
              <v:textbox style="mso-fit-shape-to-text:t">
                <w:txbxContent>
                  <w:p w14:paraId="70CFB9B7" w14:textId="4CA0C277" w:rsidR="00126DC8" w:rsidRDefault="00126DC8">
                    <w:r w:rsidRPr="00126DC8">
                      <w:rPr>
                        <w:sz w:val="18"/>
                        <w:szCs w:val="18"/>
                      </w:rPr>
                      <w:t xml:space="preserve">For Desktop Appraisals Using COVID-19 Temporary Flexibilities and Reported on Fannie Mae Form 1004, 1073, 1025, 1004C, </w:t>
                    </w:r>
                    <w:r w:rsidR="00534AC9">
                      <w:rPr>
                        <w:sz w:val="18"/>
                        <w:szCs w:val="18"/>
                      </w:rPr>
                      <w:t xml:space="preserve">or </w:t>
                    </w:r>
                    <w:r w:rsidRPr="00126DC8">
                      <w:rPr>
                        <w:sz w:val="18"/>
                        <w:szCs w:val="18"/>
                      </w:rPr>
                      <w:t>2090</w:t>
                    </w:r>
                  </w:p>
                </w:txbxContent>
              </v:textbox>
              <w10:wrap type="square" anchorx="margin"/>
            </v:shape>
          </w:pict>
        </mc:Fallback>
      </mc:AlternateContent>
    </w:r>
    <w:r w:rsidR="005213BB" w:rsidRPr="00E45E19">
      <w:rPr>
        <w:sz w:val="18"/>
        <w:szCs w:val="18"/>
      </w:rPr>
      <w:tab/>
    </w:r>
    <w:r w:rsidR="00D243DE" w:rsidRPr="00E45E19">
      <w:rPr>
        <w:noProof/>
        <w:sz w:val="18"/>
        <w:szCs w:val="18"/>
      </w:rPr>
      <w:t>© 20</w:t>
    </w:r>
    <w:r w:rsidR="00ED11F9">
      <w:rPr>
        <w:noProof/>
        <w:sz w:val="18"/>
        <w:szCs w:val="18"/>
      </w:rPr>
      <w:t>20</w:t>
    </w:r>
    <w:r w:rsidR="00D243DE" w:rsidRPr="00E45E19">
      <w:rPr>
        <w:noProof/>
        <w:sz w:val="18"/>
        <w:szCs w:val="18"/>
      </w:rPr>
      <w:t xml:space="preserve"> Fannie Mae</w:t>
    </w:r>
    <w:r w:rsidR="00CF4681" w:rsidRPr="00E45E19">
      <w:rPr>
        <w:noProof/>
        <w:sz w:val="18"/>
        <w:szCs w:val="18"/>
      </w:rPr>
      <w:t xml:space="preserve">     </w:t>
    </w:r>
    <w:r w:rsidR="00D243DE" w:rsidRPr="00E45E19">
      <w:rPr>
        <w:noProof/>
        <w:sz w:val="18"/>
        <w:szCs w:val="18"/>
      </w:rPr>
      <w:t xml:space="preserve"> </w:t>
    </w:r>
    <w:r w:rsidR="009007F4" w:rsidRPr="0047181F">
      <w:rPr>
        <w:noProof/>
        <w:sz w:val="18"/>
        <w:szCs w:val="18"/>
      </w:rPr>
      <w:t>3.2</w:t>
    </w:r>
    <w:r w:rsidR="0047181F" w:rsidRPr="0047181F">
      <w:rPr>
        <w:noProof/>
        <w:sz w:val="18"/>
        <w:szCs w:val="18"/>
      </w:rPr>
      <w:t>3</w:t>
    </w:r>
    <w:r w:rsidR="009007F4" w:rsidRPr="0047181F">
      <w:rPr>
        <w:noProof/>
        <w:sz w:val="18"/>
        <w:szCs w:val="18"/>
      </w:rPr>
      <w:t>.2020</w:t>
    </w:r>
    <w:r w:rsidR="00DB15FA" w:rsidRPr="00E45E19">
      <w:rPr>
        <w:noProof/>
        <w:sz w:val="18"/>
        <w:szCs w:val="18"/>
      </w:rPr>
      <w:t xml:space="preserve">     </w:t>
    </w:r>
    <w:r w:rsidR="00D243DE"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00D243DE"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C45C" w14:textId="77777777" w:rsidR="0017184B" w:rsidRDefault="0017184B" w:rsidP="00315E97">
      <w:r>
        <w:separator/>
      </w:r>
    </w:p>
  </w:footnote>
  <w:footnote w:type="continuationSeparator" w:id="0">
    <w:p w14:paraId="7F7CC425" w14:textId="77777777" w:rsidR="0017184B" w:rsidRDefault="0017184B" w:rsidP="0031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7397" w14:textId="603C9E2F" w:rsidR="00315E97" w:rsidRDefault="00D00E02" w:rsidP="00DB6A66">
    <w:pPr>
      <w:pStyle w:val="Header"/>
      <w:jc w:val="right"/>
    </w:pPr>
    <w:r>
      <w:rPr>
        <w:noProof/>
      </w:rPr>
      <w:drawing>
        <wp:anchor distT="0" distB="0" distL="114300" distR="114300" simplePos="0" relativeHeight="251666432" behindDoc="0" locked="0" layoutInCell="1" allowOverlap="1" wp14:anchorId="3602D867" wp14:editId="63E0AB97">
          <wp:simplePos x="0" y="0"/>
          <wp:positionH relativeFrom="column">
            <wp:posOffset>6575830</wp:posOffset>
          </wp:positionH>
          <wp:positionV relativeFrom="paragraph">
            <wp:posOffset>-110490</wp:posOffset>
          </wp:positionV>
          <wp:extent cx="301752" cy="301752"/>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1D09" w14:textId="5B8D35BC" w:rsidR="0079350A" w:rsidRDefault="00D00E02" w:rsidP="008F48D3">
    <w:r w:rsidRPr="00FB3642">
      <w:rPr>
        <w:noProof/>
      </w:rPr>
      <w:drawing>
        <wp:anchor distT="0" distB="0" distL="114300" distR="114300" simplePos="0" relativeHeight="251664384" behindDoc="0" locked="0" layoutInCell="1" allowOverlap="1" wp14:anchorId="6C6D7901" wp14:editId="50A54A7B">
          <wp:simplePos x="0" y="0"/>
          <wp:positionH relativeFrom="column">
            <wp:posOffset>-119995</wp:posOffset>
          </wp:positionH>
          <wp:positionV relativeFrom="paragraph">
            <wp:posOffset>0</wp:posOffset>
          </wp:positionV>
          <wp:extent cx="1829111" cy="5449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1829111" cy="544946"/>
                  </a:xfrm>
                  <a:prstGeom prst="rect">
                    <a:avLst/>
                  </a:prstGeom>
                </pic:spPr>
              </pic:pic>
            </a:graphicData>
          </a:graphic>
          <wp14:sizeRelH relativeFrom="page">
            <wp14:pctWidth>0</wp14:pctWidth>
          </wp14:sizeRelH>
          <wp14:sizeRelV relativeFrom="page">
            <wp14:pctHeight>0</wp14:pctHeight>
          </wp14:sizeRelV>
        </wp:anchor>
      </w:drawing>
    </w:r>
    <w:r w:rsidR="00AF0D10" w:rsidRPr="00AF0D10">
      <w:rPr>
        <w:noProof/>
      </w:rPr>
      <mc:AlternateContent>
        <mc:Choice Requires="wps">
          <w:drawing>
            <wp:anchor distT="0" distB="0" distL="114300" distR="114300" simplePos="0" relativeHeight="251662336" behindDoc="0" locked="0" layoutInCell="1" allowOverlap="1" wp14:anchorId="1D2ED3BB" wp14:editId="14E4EBA7">
              <wp:simplePos x="0" y="0"/>
              <wp:positionH relativeFrom="column">
                <wp:posOffset>1711960</wp:posOffset>
              </wp:positionH>
              <wp:positionV relativeFrom="paragraph">
                <wp:posOffset>272415</wp:posOffset>
              </wp:positionV>
              <wp:extent cx="51708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170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950D0"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1.45pt" to="541.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" strokecolor="#085280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C21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CA4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097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8F6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A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4C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406E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AA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ED9A"/>
    <w:lvl w:ilvl="0">
      <w:start w:val="1"/>
      <w:numFmt w:val="decimal"/>
      <w:lvlText w:val="%1."/>
      <w:lvlJc w:val="left"/>
      <w:pPr>
        <w:tabs>
          <w:tab w:val="num" w:pos="360"/>
        </w:tabs>
        <w:ind w:left="360" w:hanging="360"/>
      </w:pPr>
    </w:lvl>
  </w:abstractNum>
  <w:abstractNum w:abstractNumId="9" w15:restartNumberingAfterBreak="0">
    <w:nsid w:val="092A34C1"/>
    <w:multiLevelType w:val="hybridMultilevel"/>
    <w:tmpl w:val="53323E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85293"/>
    <w:multiLevelType w:val="hybridMultilevel"/>
    <w:tmpl w:val="CD8C089C"/>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11" w15:restartNumberingAfterBreak="0">
    <w:nsid w:val="16B43980"/>
    <w:multiLevelType w:val="multilevel"/>
    <w:tmpl w:val="4E847232"/>
    <w:lvl w:ilvl="0">
      <w:start w:val="1"/>
      <w:numFmt w:val="bullet"/>
      <w:lvlText w:val=""/>
      <w:lvlJc w:val="left"/>
      <w:pPr>
        <w:ind w:left="720" w:hanging="360"/>
      </w:pPr>
      <w:rPr>
        <w:rFonts w:ascii="Wingdings" w:hAnsi="Wingding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2" w15:restartNumberingAfterBreak="0">
    <w:nsid w:val="17E148EF"/>
    <w:multiLevelType w:val="hybridMultilevel"/>
    <w:tmpl w:val="613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5EFF"/>
    <w:multiLevelType w:val="hybridMultilevel"/>
    <w:tmpl w:val="5B06821A"/>
    <w:lvl w:ilvl="0" w:tplc="AF52716E">
      <w:start w:val="1"/>
      <w:numFmt w:val="decimal"/>
      <w:lvlText w:val="%1."/>
      <w:lvlJc w:val="left"/>
      <w:pPr>
        <w:tabs>
          <w:tab w:val="num" w:pos="720"/>
        </w:tabs>
        <w:ind w:left="720" w:hanging="360"/>
      </w:pPr>
    </w:lvl>
    <w:lvl w:ilvl="1" w:tplc="FE441048" w:tentative="1">
      <w:start w:val="1"/>
      <w:numFmt w:val="decimal"/>
      <w:lvlText w:val="%2."/>
      <w:lvlJc w:val="left"/>
      <w:pPr>
        <w:tabs>
          <w:tab w:val="num" w:pos="1440"/>
        </w:tabs>
        <w:ind w:left="1440" w:hanging="360"/>
      </w:pPr>
    </w:lvl>
    <w:lvl w:ilvl="2" w:tplc="FC340BAE" w:tentative="1">
      <w:start w:val="1"/>
      <w:numFmt w:val="decimal"/>
      <w:lvlText w:val="%3."/>
      <w:lvlJc w:val="left"/>
      <w:pPr>
        <w:tabs>
          <w:tab w:val="num" w:pos="2160"/>
        </w:tabs>
        <w:ind w:left="2160" w:hanging="360"/>
      </w:pPr>
    </w:lvl>
    <w:lvl w:ilvl="3" w:tplc="980A23CE" w:tentative="1">
      <w:start w:val="1"/>
      <w:numFmt w:val="decimal"/>
      <w:lvlText w:val="%4."/>
      <w:lvlJc w:val="left"/>
      <w:pPr>
        <w:tabs>
          <w:tab w:val="num" w:pos="2880"/>
        </w:tabs>
        <w:ind w:left="2880" w:hanging="360"/>
      </w:pPr>
    </w:lvl>
    <w:lvl w:ilvl="4" w:tplc="216C71C6" w:tentative="1">
      <w:start w:val="1"/>
      <w:numFmt w:val="decimal"/>
      <w:lvlText w:val="%5."/>
      <w:lvlJc w:val="left"/>
      <w:pPr>
        <w:tabs>
          <w:tab w:val="num" w:pos="3600"/>
        </w:tabs>
        <w:ind w:left="3600" w:hanging="360"/>
      </w:pPr>
    </w:lvl>
    <w:lvl w:ilvl="5" w:tplc="22CC5C40" w:tentative="1">
      <w:start w:val="1"/>
      <w:numFmt w:val="decimal"/>
      <w:lvlText w:val="%6."/>
      <w:lvlJc w:val="left"/>
      <w:pPr>
        <w:tabs>
          <w:tab w:val="num" w:pos="4320"/>
        </w:tabs>
        <w:ind w:left="4320" w:hanging="360"/>
      </w:pPr>
    </w:lvl>
    <w:lvl w:ilvl="6" w:tplc="7B7E2CF6" w:tentative="1">
      <w:start w:val="1"/>
      <w:numFmt w:val="decimal"/>
      <w:lvlText w:val="%7."/>
      <w:lvlJc w:val="left"/>
      <w:pPr>
        <w:tabs>
          <w:tab w:val="num" w:pos="5040"/>
        </w:tabs>
        <w:ind w:left="5040" w:hanging="360"/>
      </w:pPr>
    </w:lvl>
    <w:lvl w:ilvl="7" w:tplc="4C12D4B4" w:tentative="1">
      <w:start w:val="1"/>
      <w:numFmt w:val="decimal"/>
      <w:lvlText w:val="%8."/>
      <w:lvlJc w:val="left"/>
      <w:pPr>
        <w:tabs>
          <w:tab w:val="num" w:pos="5760"/>
        </w:tabs>
        <w:ind w:left="5760" w:hanging="360"/>
      </w:pPr>
    </w:lvl>
    <w:lvl w:ilvl="8" w:tplc="BAF873DC" w:tentative="1">
      <w:start w:val="1"/>
      <w:numFmt w:val="decimal"/>
      <w:lvlText w:val="%9."/>
      <w:lvlJc w:val="left"/>
      <w:pPr>
        <w:tabs>
          <w:tab w:val="num" w:pos="6480"/>
        </w:tabs>
        <w:ind w:left="6480" w:hanging="360"/>
      </w:pPr>
    </w:lvl>
  </w:abstractNum>
  <w:abstractNum w:abstractNumId="14" w15:restartNumberingAfterBreak="0">
    <w:nsid w:val="268F6FCD"/>
    <w:multiLevelType w:val="hybridMultilevel"/>
    <w:tmpl w:val="5ADE50B6"/>
    <w:lvl w:ilvl="0" w:tplc="45B21718">
      <w:start w:val="1"/>
      <w:numFmt w:val="decimal"/>
      <w:lvlText w:val="%1."/>
      <w:lvlJc w:val="left"/>
      <w:pPr>
        <w:tabs>
          <w:tab w:val="num" w:pos="716"/>
        </w:tabs>
        <w:ind w:left="716" w:hanging="360"/>
      </w:pPr>
    </w:lvl>
    <w:lvl w:ilvl="1" w:tplc="327C05CE" w:tentative="1">
      <w:start w:val="1"/>
      <w:numFmt w:val="decimal"/>
      <w:lvlText w:val="%2."/>
      <w:lvlJc w:val="left"/>
      <w:pPr>
        <w:tabs>
          <w:tab w:val="num" w:pos="1436"/>
        </w:tabs>
        <w:ind w:left="1436" w:hanging="360"/>
      </w:pPr>
    </w:lvl>
    <w:lvl w:ilvl="2" w:tplc="0B18F0B8" w:tentative="1">
      <w:start w:val="1"/>
      <w:numFmt w:val="decimal"/>
      <w:lvlText w:val="%3."/>
      <w:lvlJc w:val="left"/>
      <w:pPr>
        <w:tabs>
          <w:tab w:val="num" w:pos="2156"/>
        </w:tabs>
        <w:ind w:left="2156" w:hanging="360"/>
      </w:pPr>
    </w:lvl>
    <w:lvl w:ilvl="3" w:tplc="4ECA1E3C" w:tentative="1">
      <w:start w:val="1"/>
      <w:numFmt w:val="decimal"/>
      <w:lvlText w:val="%4."/>
      <w:lvlJc w:val="left"/>
      <w:pPr>
        <w:tabs>
          <w:tab w:val="num" w:pos="2876"/>
        </w:tabs>
        <w:ind w:left="2876" w:hanging="360"/>
      </w:pPr>
    </w:lvl>
    <w:lvl w:ilvl="4" w:tplc="568C9ABA" w:tentative="1">
      <w:start w:val="1"/>
      <w:numFmt w:val="decimal"/>
      <w:lvlText w:val="%5."/>
      <w:lvlJc w:val="left"/>
      <w:pPr>
        <w:tabs>
          <w:tab w:val="num" w:pos="3596"/>
        </w:tabs>
        <w:ind w:left="3596" w:hanging="360"/>
      </w:pPr>
    </w:lvl>
    <w:lvl w:ilvl="5" w:tplc="49022402" w:tentative="1">
      <w:start w:val="1"/>
      <w:numFmt w:val="decimal"/>
      <w:lvlText w:val="%6."/>
      <w:lvlJc w:val="left"/>
      <w:pPr>
        <w:tabs>
          <w:tab w:val="num" w:pos="4316"/>
        </w:tabs>
        <w:ind w:left="4316" w:hanging="360"/>
      </w:pPr>
    </w:lvl>
    <w:lvl w:ilvl="6" w:tplc="B210AC54" w:tentative="1">
      <w:start w:val="1"/>
      <w:numFmt w:val="decimal"/>
      <w:lvlText w:val="%7."/>
      <w:lvlJc w:val="left"/>
      <w:pPr>
        <w:tabs>
          <w:tab w:val="num" w:pos="5036"/>
        </w:tabs>
        <w:ind w:left="5036" w:hanging="360"/>
      </w:pPr>
    </w:lvl>
    <w:lvl w:ilvl="7" w:tplc="9E189DB6" w:tentative="1">
      <w:start w:val="1"/>
      <w:numFmt w:val="decimal"/>
      <w:lvlText w:val="%8."/>
      <w:lvlJc w:val="left"/>
      <w:pPr>
        <w:tabs>
          <w:tab w:val="num" w:pos="5756"/>
        </w:tabs>
        <w:ind w:left="5756" w:hanging="360"/>
      </w:pPr>
    </w:lvl>
    <w:lvl w:ilvl="8" w:tplc="F95257B2" w:tentative="1">
      <w:start w:val="1"/>
      <w:numFmt w:val="decimal"/>
      <w:lvlText w:val="%9."/>
      <w:lvlJc w:val="left"/>
      <w:pPr>
        <w:tabs>
          <w:tab w:val="num" w:pos="6476"/>
        </w:tabs>
        <w:ind w:left="6476" w:hanging="360"/>
      </w:pPr>
    </w:lvl>
  </w:abstractNum>
  <w:abstractNum w:abstractNumId="15" w15:restartNumberingAfterBreak="0">
    <w:nsid w:val="2E31523E"/>
    <w:multiLevelType w:val="hybridMultilevel"/>
    <w:tmpl w:val="A7BA3094"/>
    <w:lvl w:ilvl="0" w:tplc="14FECCCC">
      <w:start w:val="1"/>
      <w:numFmt w:val="bullet"/>
      <w:lvlText w:val=""/>
      <w:lvlJc w:val="left"/>
      <w:pPr>
        <w:tabs>
          <w:tab w:val="num" w:pos="720"/>
        </w:tabs>
        <w:ind w:left="720" w:hanging="360"/>
      </w:pPr>
      <w:rPr>
        <w:rFonts w:ascii="Wingdings" w:hAnsi="Wingdings" w:hint="default"/>
      </w:rPr>
    </w:lvl>
    <w:lvl w:ilvl="1" w:tplc="41EEB498" w:tentative="1">
      <w:start w:val="1"/>
      <w:numFmt w:val="bullet"/>
      <w:lvlText w:val=""/>
      <w:lvlJc w:val="left"/>
      <w:pPr>
        <w:tabs>
          <w:tab w:val="num" w:pos="1440"/>
        </w:tabs>
        <w:ind w:left="1440" w:hanging="360"/>
      </w:pPr>
      <w:rPr>
        <w:rFonts w:ascii="Wingdings" w:hAnsi="Wingdings" w:hint="default"/>
      </w:rPr>
    </w:lvl>
    <w:lvl w:ilvl="2" w:tplc="B48E3E16" w:tentative="1">
      <w:start w:val="1"/>
      <w:numFmt w:val="bullet"/>
      <w:lvlText w:val=""/>
      <w:lvlJc w:val="left"/>
      <w:pPr>
        <w:tabs>
          <w:tab w:val="num" w:pos="2160"/>
        </w:tabs>
        <w:ind w:left="2160" w:hanging="360"/>
      </w:pPr>
      <w:rPr>
        <w:rFonts w:ascii="Wingdings" w:hAnsi="Wingdings" w:hint="default"/>
      </w:rPr>
    </w:lvl>
    <w:lvl w:ilvl="3" w:tplc="1D967F3A" w:tentative="1">
      <w:start w:val="1"/>
      <w:numFmt w:val="bullet"/>
      <w:lvlText w:val=""/>
      <w:lvlJc w:val="left"/>
      <w:pPr>
        <w:tabs>
          <w:tab w:val="num" w:pos="2880"/>
        </w:tabs>
        <w:ind w:left="2880" w:hanging="360"/>
      </w:pPr>
      <w:rPr>
        <w:rFonts w:ascii="Wingdings" w:hAnsi="Wingdings" w:hint="default"/>
      </w:rPr>
    </w:lvl>
    <w:lvl w:ilvl="4" w:tplc="5D46BB9A" w:tentative="1">
      <w:start w:val="1"/>
      <w:numFmt w:val="bullet"/>
      <w:lvlText w:val=""/>
      <w:lvlJc w:val="left"/>
      <w:pPr>
        <w:tabs>
          <w:tab w:val="num" w:pos="3600"/>
        </w:tabs>
        <w:ind w:left="3600" w:hanging="360"/>
      </w:pPr>
      <w:rPr>
        <w:rFonts w:ascii="Wingdings" w:hAnsi="Wingdings" w:hint="default"/>
      </w:rPr>
    </w:lvl>
    <w:lvl w:ilvl="5" w:tplc="7506E480" w:tentative="1">
      <w:start w:val="1"/>
      <w:numFmt w:val="bullet"/>
      <w:lvlText w:val=""/>
      <w:lvlJc w:val="left"/>
      <w:pPr>
        <w:tabs>
          <w:tab w:val="num" w:pos="4320"/>
        </w:tabs>
        <w:ind w:left="4320" w:hanging="360"/>
      </w:pPr>
      <w:rPr>
        <w:rFonts w:ascii="Wingdings" w:hAnsi="Wingdings" w:hint="default"/>
      </w:rPr>
    </w:lvl>
    <w:lvl w:ilvl="6" w:tplc="9BEA0F5A" w:tentative="1">
      <w:start w:val="1"/>
      <w:numFmt w:val="bullet"/>
      <w:lvlText w:val=""/>
      <w:lvlJc w:val="left"/>
      <w:pPr>
        <w:tabs>
          <w:tab w:val="num" w:pos="5040"/>
        </w:tabs>
        <w:ind w:left="5040" w:hanging="360"/>
      </w:pPr>
      <w:rPr>
        <w:rFonts w:ascii="Wingdings" w:hAnsi="Wingdings" w:hint="default"/>
      </w:rPr>
    </w:lvl>
    <w:lvl w:ilvl="7" w:tplc="4EB4D000" w:tentative="1">
      <w:start w:val="1"/>
      <w:numFmt w:val="bullet"/>
      <w:lvlText w:val=""/>
      <w:lvlJc w:val="left"/>
      <w:pPr>
        <w:tabs>
          <w:tab w:val="num" w:pos="5760"/>
        </w:tabs>
        <w:ind w:left="5760" w:hanging="360"/>
      </w:pPr>
      <w:rPr>
        <w:rFonts w:ascii="Wingdings" w:hAnsi="Wingdings" w:hint="default"/>
      </w:rPr>
    </w:lvl>
    <w:lvl w:ilvl="8" w:tplc="2604BB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44C61"/>
    <w:multiLevelType w:val="multilevel"/>
    <w:tmpl w:val="DFCE8E14"/>
    <w:lvl w:ilvl="0">
      <w:start w:val="1"/>
      <w:numFmt w:val="decimal"/>
      <w:lvlText w:val="%1."/>
      <w:lvlJc w:val="left"/>
      <w:pPr>
        <w:tabs>
          <w:tab w:val="num" w:pos="360"/>
        </w:tabs>
        <w:ind w:left="360" w:hanging="216"/>
      </w:pPr>
      <w:rPr>
        <w:rFont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7" w15:restartNumberingAfterBreak="0">
    <w:nsid w:val="531060F5"/>
    <w:multiLevelType w:val="hybridMultilevel"/>
    <w:tmpl w:val="1D68808A"/>
    <w:lvl w:ilvl="0" w:tplc="AD9CEA8A">
      <w:start w:val="1"/>
      <w:numFmt w:val="decimal"/>
      <w:pStyle w:val="QAQuestion"/>
      <w:lvlText w:val="Q%1."/>
      <w:lvlJc w:val="left"/>
      <w:pPr>
        <w:ind w:left="63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8" w15:restartNumberingAfterBreak="0">
    <w:nsid w:val="5F482287"/>
    <w:multiLevelType w:val="hybridMultilevel"/>
    <w:tmpl w:val="95E87516"/>
    <w:lvl w:ilvl="0" w:tplc="350C558E">
      <w:start w:val="1"/>
      <w:numFmt w:val="bullet"/>
      <w:lvlText w:val=""/>
      <w:lvlJc w:val="left"/>
      <w:pPr>
        <w:tabs>
          <w:tab w:val="num" w:pos="720"/>
        </w:tabs>
        <w:ind w:left="720" w:hanging="360"/>
      </w:pPr>
      <w:rPr>
        <w:rFonts w:ascii="Wingdings" w:hAnsi="Wingdings" w:hint="default"/>
      </w:rPr>
    </w:lvl>
    <w:lvl w:ilvl="1" w:tplc="A6EE7804" w:tentative="1">
      <w:start w:val="1"/>
      <w:numFmt w:val="bullet"/>
      <w:lvlText w:val=""/>
      <w:lvlJc w:val="left"/>
      <w:pPr>
        <w:tabs>
          <w:tab w:val="num" w:pos="1440"/>
        </w:tabs>
        <w:ind w:left="1440" w:hanging="360"/>
      </w:pPr>
      <w:rPr>
        <w:rFonts w:ascii="Wingdings" w:hAnsi="Wingdings" w:hint="default"/>
      </w:rPr>
    </w:lvl>
    <w:lvl w:ilvl="2" w:tplc="C2360C08" w:tentative="1">
      <w:start w:val="1"/>
      <w:numFmt w:val="bullet"/>
      <w:lvlText w:val=""/>
      <w:lvlJc w:val="left"/>
      <w:pPr>
        <w:tabs>
          <w:tab w:val="num" w:pos="2160"/>
        </w:tabs>
        <w:ind w:left="2160" w:hanging="360"/>
      </w:pPr>
      <w:rPr>
        <w:rFonts w:ascii="Wingdings" w:hAnsi="Wingdings" w:hint="default"/>
      </w:rPr>
    </w:lvl>
    <w:lvl w:ilvl="3" w:tplc="083EAB8A" w:tentative="1">
      <w:start w:val="1"/>
      <w:numFmt w:val="bullet"/>
      <w:lvlText w:val=""/>
      <w:lvlJc w:val="left"/>
      <w:pPr>
        <w:tabs>
          <w:tab w:val="num" w:pos="2880"/>
        </w:tabs>
        <w:ind w:left="2880" w:hanging="360"/>
      </w:pPr>
      <w:rPr>
        <w:rFonts w:ascii="Wingdings" w:hAnsi="Wingdings" w:hint="default"/>
      </w:rPr>
    </w:lvl>
    <w:lvl w:ilvl="4" w:tplc="5EAA24F8" w:tentative="1">
      <w:start w:val="1"/>
      <w:numFmt w:val="bullet"/>
      <w:lvlText w:val=""/>
      <w:lvlJc w:val="left"/>
      <w:pPr>
        <w:tabs>
          <w:tab w:val="num" w:pos="3600"/>
        </w:tabs>
        <w:ind w:left="3600" w:hanging="360"/>
      </w:pPr>
      <w:rPr>
        <w:rFonts w:ascii="Wingdings" w:hAnsi="Wingdings" w:hint="default"/>
      </w:rPr>
    </w:lvl>
    <w:lvl w:ilvl="5" w:tplc="88245860" w:tentative="1">
      <w:start w:val="1"/>
      <w:numFmt w:val="bullet"/>
      <w:lvlText w:val=""/>
      <w:lvlJc w:val="left"/>
      <w:pPr>
        <w:tabs>
          <w:tab w:val="num" w:pos="4320"/>
        </w:tabs>
        <w:ind w:left="4320" w:hanging="360"/>
      </w:pPr>
      <w:rPr>
        <w:rFonts w:ascii="Wingdings" w:hAnsi="Wingdings" w:hint="default"/>
      </w:rPr>
    </w:lvl>
    <w:lvl w:ilvl="6" w:tplc="C8FE615A" w:tentative="1">
      <w:start w:val="1"/>
      <w:numFmt w:val="bullet"/>
      <w:lvlText w:val=""/>
      <w:lvlJc w:val="left"/>
      <w:pPr>
        <w:tabs>
          <w:tab w:val="num" w:pos="5040"/>
        </w:tabs>
        <w:ind w:left="5040" w:hanging="360"/>
      </w:pPr>
      <w:rPr>
        <w:rFonts w:ascii="Wingdings" w:hAnsi="Wingdings" w:hint="default"/>
      </w:rPr>
    </w:lvl>
    <w:lvl w:ilvl="7" w:tplc="3412F160" w:tentative="1">
      <w:start w:val="1"/>
      <w:numFmt w:val="bullet"/>
      <w:lvlText w:val=""/>
      <w:lvlJc w:val="left"/>
      <w:pPr>
        <w:tabs>
          <w:tab w:val="num" w:pos="5760"/>
        </w:tabs>
        <w:ind w:left="5760" w:hanging="360"/>
      </w:pPr>
      <w:rPr>
        <w:rFonts w:ascii="Wingdings" w:hAnsi="Wingdings" w:hint="default"/>
      </w:rPr>
    </w:lvl>
    <w:lvl w:ilvl="8" w:tplc="8ABA9E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12580A"/>
    <w:multiLevelType w:val="hybridMultilevel"/>
    <w:tmpl w:val="AA7604CA"/>
    <w:lvl w:ilvl="0" w:tplc="DCBCB4A6">
      <w:start w:val="1"/>
      <w:numFmt w:val="bullet"/>
      <w:lvlText w:val=""/>
      <w:lvlJc w:val="left"/>
      <w:pPr>
        <w:ind w:left="1072" w:hanging="360"/>
      </w:pPr>
      <w:rPr>
        <w:rFonts w:ascii="Wingdings" w:hAnsi="Wingdings" w:hint="default"/>
      </w:rPr>
    </w:lvl>
    <w:lvl w:ilvl="1" w:tplc="78A24926">
      <w:start w:val="1"/>
      <w:numFmt w:val="bullet"/>
      <w:lvlText w:val=""/>
      <w:lvlJc w:val="left"/>
      <w:pPr>
        <w:ind w:left="1432" w:hanging="360"/>
      </w:pPr>
      <w:rPr>
        <w:rFonts w:ascii="Wingdings" w:hAnsi="Wingdings" w:hint="default"/>
      </w:rPr>
    </w:lvl>
    <w:lvl w:ilvl="2" w:tplc="3FDAE7AA">
      <w:start w:val="1"/>
      <w:numFmt w:val="bullet"/>
      <w:lvlText w:val=""/>
      <w:lvlJc w:val="left"/>
      <w:pPr>
        <w:ind w:left="1792" w:hanging="360"/>
      </w:pPr>
      <w:rPr>
        <w:rFonts w:ascii="Wingdings" w:hAnsi="Wingdings" w:hint="default"/>
      </w:rPr>
    </w:lvl>
    <w:lvl w:ilvl="3" w:tplc="04090005">
      <w:start w:val="1"/>
      <w:numFmt w:val="bullet"/>
      <w:lvlText w:val=""/>
      <w:lvlJc w:val="left"/>
      <w:pPr>
        <w:ind w:left="2152" w:hanging="360"/>
      </w:pPr>
      <w:rPr>
        <w:rFonts w:ascii="Wingdings" w:hAnsi="Wingdings" w:hint="default"/>
      </w:rPr>
    </w:lvl>
    <w:lvl w:ilvl="4" w:tplc="04090005">
      <w:start w:val="1"/>
      <w:numFmt w:val="bullet"/>
      <w:lvlText w:val=""/>
      <w:lvlJc w:val="left"/>
      <w:pPr>
        <w:ind w:left="2512" w:hanging="360"/>
      </w:pPr>
      <w:rPr>
        <w:rFonts w:ascii="Wingdings" w:hAnsi="Wingdings"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0" w15:restartNumberingAfterBreak="0">
    <w:nsid w:val="70EE2C16"/>
    <w:multiLevelType w:val="hybridMultilevel"/>
    <w:tmpl w:val="1A5EE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BC4425"/>
    <w:multiLevelType w:val="hybridMultilevel"/>
    <w:tmpl w:val="1346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9E7134"/>
    <w:multiLevelType w:val="hybridMultilevel"/>
    <w:tmpl w:val="70F6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5718D"/>
    <w:multiLevelType w:val="hybridMultilevel"/>
    <w:tmpl w:val="700CE5D6"/>
    <w:lvl w:ilvl="0" w:tplc="06ECD6A8">
      <w:start w:val="1"/>
      <w:numFmt w:val="none"/>
      <w:pStyle w:val="Note"/>
      <w:lvlText w:val="Note:"/>
      <w:lvlJc w:val="left"/>
      <w:pPr>
        <w:tabs>
          <w:tab w:val="num" w:pos="1296"/>
        </w:tabs>
        <w:ind w:left="576"/>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302508"/>
    <w:multiLevelType w:val="hybridMultilevel"/>
    <w:tmpl w:val="2340D6E0"/>
    <w:lvl w:ilvl="0" w:tplc="009E0188">
      <w:start w:val="1"/>
      <w:numFmt w:val="decimal"/>
      <w:pStyle w:val="Numberedlist"/>
      <w:lvlText w:val="%1."/>
      <w:lvlJc w:val="left"/>
      <w:pPr>
        <w:ind w:left="720" w:hanging="360"/>
      </w:pPr>
      <w:rPr>
        <w:rFonts w:hint="default"/>
      </w:rPr>
    </w:lvl>
    <w:lvl w:ilvl="1" w:tplc="E1761346">
      <w:start w:val="1"/>
      <w:numFmt w:val="lowerLetter"/>
      <w:lvlText w:val="%2."/>
      <w:lvlJc w:val="left"/>
      <w:pPr>
        <w:ind w:left="1080" w:hanging="360"/>
      </w:pPr>
      <w:rPr>
        <w:rFonts w:hint="default"/>
      </w:rPr>
    </w:lvl>
    <w:lvl w:ilvl="2" w:tplc="AF96AC82">
      <w:start w:val="1"/>
      <w:numFmt w:val="lowerRoman"/>
      <w:lvlText w:val="%3."/>
      <w:lvlJc w:val="right"/>
      <w:pPr>
        <w:ind w:left="1440" w:hanging="360"/>
      </w:pPr>
      <w:rPr>
        <w:rFonts w:hint="default"/>
      </w:rPr>
    </w:lvl>
    <w:lvl w:ilvl="3" w:tplc="717AB2B8">
      <w:start w:val="1"/>
      <w:numFmt w:val="decimal"/>
      <w:lvlText w:val="%4."/>
      <w:lvlJc w:val="left"/>
      <w:pPr>
        <w:ind w:left="1800" w:hanging="360"/>
      </w:pPr>
      <w:rPr>
        <w:rFonts w:hint="default"/>
      </w:rPr>
    </w:lvl>
    <w:lvl w:ilvl="4" w:tplc="502278D8">
      <w:start w:val="1"/>
      <w:numFmt w:val="lowerLetter"/>
      <w:lvlText w:val="%5."/>
      <w:lvlJc w:val="left"/>
      <w:pPr>
        <w:ind w:left="2160" w:hanging="360"/>
      </w:pPr>
      <w:rPr>
        <w:rFonts w:hint="default"/>
      </w:rPr>
    </w:lvl>
    <w:lvl w:ilvl="5" w:tplc="22B257AE">
      <w:start w:val="1"/>
      <w:numFmt w:val="lowerRoman"/>
      <w:lvlText w:val="%6."/>
      <w:lvlJc w:val="right"/>
      <w:pPr>
        <w:ind w:left="2520" w:hanging="360"/>
      </w:pPr>
      <w:rPr>
        <w:rFonts w:hint="default"/>
      </w:rPr>
    </w:lvl>
    <w:lvl w:ilvl="6" w:tplc="7D3CF930">
      <w:start w:val="1"/>
      <w:numFmt w:val="decimal"/>
      <w:lvlText w:val="%7."/>
      <w:lvlJc w:val="left"/>
      <w:pPr>
        <w:ind w:left="2880" w:hanging="360"/>
      </w:pPr>
      <w:rPr>
        <w:rFonts w:hint="default"/>
      </w:rPr>
    </w:lvl>
    <w:lvl w:ilvl="7" w:tplc="310E2C6A">
      <w:start w:val="1"/>
      <w:numFmt w:val="lowerLetter"/>
      <w:lvlText w:val="%8."/>
      <w:lvlJc w:val="left"/>
      <w:pPr>
        <w:ind w:left="3240" w:hanging="360"/>
      </w:pPr>
      <w:rPr>
        <w:rFonts w:hint="default"/>
      </w:rPr>
    </w:lvl>
    <w:lvl w:ilvl="8" w:tplc="F9DAA70C">
      <w:start w:val="1"/>
      <w:numFmt w:val="lowerRoman"/>
      <w:lvlText w:val="%9."/>
      <w:lvlJc w:val="right"/>
      <w:pPr>
        <w:ind w:left="3600" w:hanging="360"/>
      </w:pPr>
      <w:rPr>
        <w:rFonts w:hint="default"/>
      </w:r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2"/>
  </w:num>
  <w:num w:numId="12">
    <w:abstractNumId w:val="14"/>
  </w:num>
  <w:num w:numId="13">
    <w:abstractNumId w:val="13"/>
  </w:num>
  <w:num w:numId="14">
    <w:abstractNumId w:val="18"/>
  </w:num>
  <w:num w:numId="15">
    <w:abstractNumId w:val="15"/>
  </w:num>
  <w:num w:numId="16">
    <w:abstractNumId w:val="23"/>
  </w:num>
  <w:num w:numId="17">
    <w:abstractNumId w:val="17"/>
  </w:num>
  <w:num w:numId="18">
    <w:abstractNumId w:val="22"/>
  </w:num>
  <w:num w:numId="19">
    <w:abstractNumId w:val="9"/>
  </w:num>
  <w:num w:numId="20">
    <w:abstractNumId w:val="20"/>
  </w:num>
  <w:num w:numId="21">
    <w:abstractNumId w:val="16"/>
  </w:num>
  <w:num w:numId="22">
    <w:abstractNumId w:val="24"/>
  </w:num>
  <w:num w:numId="23">
    <w:abstractNumId w:val="19"/>
  </w:num>
  <w:num w:numId="24">
    <w:abstractNumId w:val="10"/>
  </w:num>
  <w:num w:numId="25">
    <w:abstractNumId w:val="10"/>
    <w:lvlOverride w:ilvl="0">
      <w:startOverride w:val="1"/>
    </w:lvlOverride>
  </w:num>
  <w:num w:numId="26">
    <w:abstractNumId w:val="10"/>
  </w:num>
  <w:num w:numId="27">
    <w:abstractNumId w:val="10"/>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1"/>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97"/>
    <w:rsid w:val="00014BDA"/>
    <w:rsid w:val="0001719A"/>
    <w:rsid w:val="00080FDC"/>
    <w:rsid w:val="000C550C"/>
    <w:rsid w:val="000C5A46"/>
    <w:rsid w:val="00100F09"/>
    <w:rsid w:val="00126DC8"/>
    <w:rsid w:val="0017184B"/>
    <w:rsid w:val="00176A1C"/>
    <w:rsid w:val="00190A52"/>
    <w:rsid w:val="001A140D"/>
    <w:rsid w:val="001B3F6D"/>
    <w:rsid w:val="001B5240"/>
    <w:rsid w:val="00200CC1"/>
    <w:rsid w:val="00207A3E"/>
    <w:rsid w:val="00213949"/>
    <w:rsid w:val="0023681C"/>
    <w:rsid w:val="0027517D"/>
    <w:rsid w:val="002B1257"/>
    <w:rsid w:val="002D56BE"/>
    <w:rsid w:val="0030497A"/>
    <w:rsid w:val="00315E97"/>
    <w:rsid w:val="003232B5"/>
    <w:rsid w:val="00355643"/>
    <w:rsid w:val="003F6D6C"/>
    <w:rsid w:val="004253B2"/>
    <w:rsid w:val="00430F5D"/>
    <w:rsid w:val="004372F7"/>
    <w:rsid w:val="00450D4C"/>
    <w:rsid w:val="00466643"/>
    <w:rsid w:val="0047181F"/>
    <w:rsid w:val="00481BB2"/>
    <w:rsid w:val="004A456C"/>
    <w:rsid w:val="004C18C9"/>
    <w:rsid w:val="004C228A"/>
    <w:rsid w:val="0050731E"/>
    <w:rsid w:val="005213BB"/>
    <w:rsid w:val="005273C4"/>
    <w:rsid w:val="00534AC9"/>
    <w:rsid w:val="005452BB"/>
    <w:rsid w:val="00545FBC"/>
    <w:rsid w:val="005B162C"/>
    <w:rsid w:val="00614E4C"/>
    <w:rsid w:val="00635769"/>
    <w:rsid w:val="0064771D"/>
    <w:rsid w:val="006A38D2"/>
    <w:rsid w:val="006B1A41"/>
    <w:rsid w:val="006D4E8B"/>
    <w:rsid w:val="006E4DF4"/>
    <w:rsid w:val="00734253"/>
    <w:rsid w:val="007423D3"/>
    <w:rsid w:val="0074638D"/>
    <w:rsid w:val="00755E64"/>
    <w:rsid w:val="007760FE"/>
    <w:rsid w:val="00785545"/>
    <w:rsid w:val="0079350A"/>
    <w:rsid w:val="007F3116"/>
    <w:rsid w:val="008340CC"/>
    <w:rsid w:val="00847B78"/>
    <w:rsid w:val="008E4A90"/>
    <w:rsid w:val="008E5851"/>
    <w:rsid w:val="008F48D3"/>
    <w:rsid w:val="009007F4"/>
    <w:rsid w:val="009032A5"/>
    <w:rsid w:val="009A181E"/>
    <w:rsid w:val="009C0AB2"/>
    <w:rsid w:val="009C4DB3"/>
    <w:rsid w:val="009D0E28"/>
    <w:rsid w:val="009D19B1"/>
    <w:rsid w:val="00A07BAC"/>
    <w:rsid w:val="00A379D4"/>
    <w:rsid w:val="00A4400B"/>
    <w:rsid w:val="00A449B6"/>
    <w:rsid w:val="00A51FBC"/>
    <w:rsid w:val="00A76E48"/>
    <w:rsid w:val="00AB0CDF"/>
    <w:rsid w:val="00AD1CB3"/>
    <w:rsid w:val="00AD2B5D"/>
    <w:rsid w:val="00AE638F"/>
    <w:rsid w:val="00AF0D10"/>
    <w:rsid w:val="00B05AE5"/>
    <w:rsid w:val="00B30DE8"/>
    <w:rsid w:val="00B52B9E"/>
    <w:rsid w:val="00B87DF5"/>
    <w:rsid w:val="00B97CD8"/>
    <w:rsid w:val="00BA562C"/>
    <w:rsid w:val="00BC07F3"/>
    <w:rsid w:val="00BC360D"/>
    <w:rsid w:val="00BD3502"/>
    <w:rsid w:val="00C04965"/>
    <w:rsid w:val="00C04C26"/>
    <w:rsid w:val="00C46D02"/>
    <w:rsid w:val="00C501A5"/>
    <w:rsid w:val="00C5391E"/>
    <w:rsid w:val="00C76C9A"/>
    <w:rsid w:val="00C85BEB"/>
    <w:rsid w:val="00CC1A97"/>
    <w:rsid w:val="00CE03D2"/>
    <w:rsid w:val="00CE2D05"/>
    <w:rsid w:val="00CF4681"/>
    <w:rsid w:val="00D00E02"/>
    <w:rsid w:val="00D103EA"/>
    <w:rsid w:val="00D243DE"/>
    <w:rsid w:val="00DA3D74"/>
    <w:rsid w:val="00DB15FA"/>
    <w:rsid w:val="00DB6A66"/>
    <w:rsid w:val="00E37A58"/>
    <w:rsid w:val="00E45E19"/>
    <w:rsid w:val="00E53800"/>
    <w:rsid w:val="00ED11F9"/>
    <w:rsid w:val="00F02BB8"/>
    <w:rsid w:val="00F51641"/>
    <w:rsid w:val="00F51ACF"/>
    <w:rsid w:val="00F908CA"/>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07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5" w:qFormat="1"/>
    <w:lsdException w:name="heading 5" w:semiHidden="1" w:uiPriority="10" w:unhideWhenUsed="1"/>
    <w:lsdException w:name="heading 6" w:semiHidden="1" w:uiPriority="10" w:unhideWhenUsed="1"/>
    <w:lsdException w:name="heading 7" w:semiHidden="1" w:uiPriority="10" w:unhideWhenUsed="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18C9"/>
    <w:pPr>
      <w:spacing w:after="120"/>
    </w:pPr>
    <w:rPr>
      <w:sz w:val="20"/>
    </w:rPr>
  </w:style>
  <w:style w:type="paragraph" w:styleId="Heading1">
    <w:name w:val="heading 1"/>
    <w:basedOn w:val="Normal"/>
    <w:next w:val="Normal"/>
    <w:link w:val="Heading1Char"/>
    <w:uiPriority w:val="2"/>
    <w:qFormat/>
    <w:rsid w:val="007760FE"/>
    <w:pPr>
      <w:keepNext/>
      <w:keepLines/>
      <w:spacing w:before="240"/>
      <w:outlineLvl w:val="0"/>
    </w:pPr>
    <w:rPr>
      <w:rFonts w:ascii="Source Sans Pro" w:eastAsiaTheme="majorEastAsia" w:hAnsi="Source Sans Pro" w:cstheme="majorBidi"/>
      <w:b/>
      <w:color w:val="05304D" w:themeColor="text2"/>
      <w:sz w:val="32"/>
      <w:szCs w:val="32"/>
    </w:rPr>
  </w:style>
  <w:style w:type="paragraph" w:styleId="Heading2">
    <w:name w:val="heading 2"/>
    <w:basedOn w:val="Normal"/>
    <w:next w:val="Normal"/>
    <w:link w:val="Heading2Char"/>
    <w:uiPriority w:val="3"/>
    <w:qFormat/>
    <w:rsid w:val="00635769"/>
    <w:pPr>
      <w:keepNext/>
      <w:keepLines/>
      <w:spacing w:before="240"/>
      <w:outlineLvl w:val="1"/>
    </w:pPr>
    <w:rPr>
      <w:b/>
      <w:color w:val="05304D" w:themeColor="text2"/>
      <w:sz w:val="28"/>
      <w:szCs w:val="26"/>
    </w:rPr>
  </w:style>
  <w:style w:type="paragraph" w:styleId="Heading3">
    <w:name w:val="heading 3"/>
    <w:basedOn w:val="Normal"/>
    <w:next w:val="Normal"/>
    <w:link w:val="Heading3Char"/>
    <w:uiPriority w:val="4"/>
    <w:qFormat/>
    <w:rsid w:val="00635769"/>
    <w:pPr>
      <w:keepNext/>
      <w:keepLines/>
      <w:spacing w:before="240"/>
      <w:outlineLvl w:val="2"/>
    </w:pPr>
    <w:rPr>
      <w:rFonts w:asciiTheme="majorHAnsi" w:eastAsiaTheme="majorEastAsia" w:hAnsiTheme="majorHAnsi" w:cstheme="majorBidi"/>
      <w:color w:val="05304D" w:themeColor="text2"/>
      <w:sz w:val="24"/>
    </w:rPr>
  </w:style>
  <w:style w:type="paragraph" w:styleId="Heading4">
    <w:name w:val="heading 4"/>
    <w:basedOn w:val="Normal"/>
    <w:next w:val="Normal"/>
    <w:link w:val="Heading4Char"/>
    <w:uiPriority w:val="5"/>
    <w:qFormat/>
    <w:rsid w:val="00635769"/>
    <w:pPr>
      <w:keepNext/>
      <w:keepLines/>
      <w:spacing w:before="240"/>
      <w:outlineLvl w:val="3"/>
    </w:pPr>
    <w:rPr>
      <w:rFonts w:asciiTheme="majorHAnsi" w:eastAsiaTheme="majorEastAsia" w:hAnsiTheme="majorHAnsi" w:cstheme="majorBidi"/>
      <w:iCs/>
      <w:color w:val="05304D" w:themeColor="text2"/>
    </w:rPr>
  </w:style>
  <w:style w:type="paragraph" w:styleId="Heading5">
    <w:name w:val="heading 5"/>
    <w:basedOn w:val="Normal"/>
    <w:next w:val="Normal"/>
    <w:link w:val="Heading5Char"/>
    <w:uiPriority w:val="10"/>
    <w:unhideWhenUsed/>
    <w:rsid w:val="007760FE"/>
    <w:pPr>
      <w:keepNext/>
      <w:keepLines/>
      <w:spacing w:before="40" w:after="0"/>
      <w:outlineLvl w:val="4"/>
    </w:pPr>
    <w:rPr>
      <w:rFonts w:asciiTheme="majorHAnsi" w:eastAsiaTheme="majorEastAsia" w:hAnsiTheme="majorHAnsi" w:cstheme="majorBidi"/>
      <w:color w:val="063D5F" w:themeColor="accent1" w:themeShade="BF"/>
    </w:rPr>
  </w:style>
  <w:style w:type="paragraph" w:styleId="Heading6">
    <w:name w:val="heading 6"/>
    <w:basedOn w:val="Normal"/>
    <w:next w:val="Normal"/>
    <w:link w:val="Heading6Char"/>
    <w:uiPriority w:val="10"/>
    <w:unhideWhenUsed/>
    <w:rsid w:val="00635769"/>
    <w:pPr>
      <w:keepNext/>
      <w:keepLines/>
      <w:spacing w:before="40" w:after="0"/>
      <w:outlineLvl w:val="5"/>
    </w:pPr>
    <w:rPr>
      <w:rFonts w:asciiTheme="majorHAnsi" w:eastAsiaTheme="majorEastAsia" w:hAnsiTheme="majorHAnsi" w:cstheme="majorBidi"/>
      <w:color w:val="0428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97"/>
    <w:pPr>
      <w:tabs>
        <w:tab w:val="center" w:pos="4680"/>
        <w:tab w:val="right" w:pos="9360"/>
      </w:tabs>
    </w:pPr>
  </w:style>
  <w:style w:type="character" w:customStyle="1" w:styleId="HeaderChar">
    <w:name w:val="Header Char"/>
    <w:basedOn w:val="DefaultParagraphFont"/>
    <w:link w:val="Header"/>
    <w:uiPriority w:val="99"/>
    <w:rsid w:val="00315E97"/>
  </w:style>
  <w:style w:type="paragraph" w:styleId="Footer">
    <w:name w:val="footer"/>
    <w:basedOn w:val="Normal"/>
    <w:link w:val="FooterChar"/>
    <w:uiPriority w:val="7"/>
    <w:qFormat/>
    <w:rsid w:val="00A4400B"/>
    <w:pPr>
      <w:tabs>
        <w:tab w:val="center" w:pos="4680"/>
        <w:tab w:val="right" w:pos="9360"/>
      </w:tabs>
      <w:spacing w:before="240"/>
    </w:pPr>
  </w:style>
  <w:style w:type="character" w:customStyle="1" w:styleId="FooterChar">
    <w:name w:val="Footer Char"/>
    <w:basedOn w:val="DefaultParagraphFont"/>
    <w:link w:val="Footer"/>
    <w:uiPriority w:val="7"/>
    <w:rsid w:val="00A4400B"/>
    <w:rPr>
      <w:sz w:val="20"/>
    </w:rPr>
  </w:style>
  <w:style w:type="character" w:customStyle="1" w:styleId="Heading1Char">
    <w:name w:val="Heading 1 Char"/>
    <w:basedOn w:val="DefaultParagraphFont"/>
    <w:link w:val="Heading1"/>
    <w:uiPriority w:val="2"/>
    <w:rsid w:val="007760FE"/>
    <w:rPr>
      <w:rFonts w:ascii="Source Sans Pro" w:eastAsiaTheme="majorEastAsia" w:hAnsi="Source Sans Pro" w:cstheme="majorBidi"/>
      <w:b/>
      <w:color w:val="05304D" w:themeColor="text2"/>
      <w:sz w:val="32"/>
      <w:szCs w:val="32"/>
    </w:rPr>
  </w:style>
  <w:style w:type="paragraph" w:styleId="BodyText">
    <w:name w:val="Body Text"/>
    <w:basedOn w:val="Normal"/>
    <w:link w:val="BodyTextChar"/>
    <w:autoRedefine/>
    <w:rsid w:val="004253B2"/>
    <w:pPr>
      <w:spacing w:after="200"/>
      <w:jc w:val="both"/>
    </w:pPr>
    <w:rPr>
      <w:szCs w:val="22"/>
    </w:rPr>
  </w:style>
  <w:style w:type="character" w:customStyle="1" w:styleId="BodyTextChar">
    <w:name w:val="Body Text Char"/>
    <w:basedOn w:val="DefaultParagraphFont"/>
    <w:link w:val="BodyText"/>
    <w:rsid w:val="004253B2"/>
    <w:rPr>
      <w:sz w:val="20"/>
      <w:szCs w:val="22"/>
    </w:rPr>
  </w:style>
  <w:style w:type="character" w:customStyle="1" w:styleId="Heading2Char">
    <w:name w:val="Heading 2 Char"/>
    <w:basedOn w:val="DefaultParagraphFont"/>
    <w:link w:val="Heading2"/>
    <w:uiPriority w:val="3"/>
    <w:rsid w:val="00635769"/>
    <w:rPr>
      <w:b/>
      <w:color w:val="05304D" w:themeColor="text2"/>
      <w:sz w:val="28"/>
      <w:szCs w:val="26"/>
    </w:rPr>
  </w:style>
  <w:style w:type="paragraph" w:styleId="Title">
    <w:name w:val="Title"/>
    <w:basedOn w:val="Normal"/>
    <w:next w:val="Normal"/>
    <w:link w:val="TitleChar"/>
    <w:uiPriority w:val="1"/>
    <w:qFormat/>
    <w:rsid w:val="007760FE"/>
    <w:pPr>
      <w:spacing w:before="240"/>
      <w:contextualSpacing/>
    </w:pPr>
    <w:rPr>
      <w:rFonts w:ascii="Source Sans Pro" w:eastAsiaTheme="majorEastAsia" w:hAnsi="Source Sans Pro" w:cstheme="majorBidi"/>
      <w:b/>
      <w:color w:val="05304D" w:themeColor="text2"/>
      <w:spacing w:val="-10"/>
      <w:kern w:val="28"/>
      <w:sz w:val="44"/>
      <w:szCs w:val="56"/>
    </w:rPr>
  </w:style>
  <w:style w:type="character" w:customStyle="1" w:styleId="TitleChar">
    <w:name w:val="Title Char"/>
    <w:basedOn w:val="DefaultParagraphFont"/>
    <w:link w:val="Title"/>
    <w:uiPriority w:val="1"/>
    <w:rsid w:val="007760FE"/>
    <w:rPr>
      <w:rFonts w:ascii="Source Sans Pro" w:eastAsiaTheme="majorEastAsia" w:hAnsi="Source Sans Pro" w:cstheme="majorBidi"/>
      <w:b/>
      <w:color w:val="05304D" w:themeColor="text2"/>
      <w:spacing w:val="-10"/>
      <w:kern w:val="28"/>
      <w:sz w:val="44"/>
      <w:szCs w:val="56"/>
    </w:rPr>
  </w:style>
  <w:style w:type="paragraph" w:styleId="ListParagraph">
    <w:name w:val="List Paragraph"/>
    <w:basedOn w:val="Normal"/>
    <w:uiPriority w:val="34"/>
    <w:semiHidden/>
    <w:qFormat/>
    <w:rsid w:val="00AD2B5D"/>
    <w:pPr>
      <w:ind w:left="720"/>
      <w:contextualSpacing/>
    </w:pPr>
  </w:style>
  <w:style w:type="table" w:styleId="TableGrid">
    <w:name w:val="Table Grid"/>
    <w:basedOn w:val="TableNormal"/>
    <w:uiPriority w:val="39"/>
    <w:rsid w:val="00A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6A66"/>
  </w:style>
  <w:style w:type="paragraph" w:customStyle="1" w:styleId="Note">
    <w:name w:val="Note"/>
    <w:basedOn w:val="BodyText"/>
    <w:uiPriority w:val="8"/>
    <w:qFormat/>
    <w:rsid w:val="00785545"/>
    <w:pPr>
      <w:numPr>
        <w:numId w:val="16"/>
      </w:numPr>
      <w:pBdr>
        <w:top w:val="single" w:sz="4" w:space="0" w:color="FFFFFF"/>
        <w:left w:val="single" w:sz="4" w:space="7" w:color="085280" w:themeColor="accent1"/>
        <w:bottom w:val="single" w:sz="4" w:space="1" w:color="FFFFFF"/>
      </w:pBdr>
      <w:spacing w:before="240" w:after="360"/>
      <w:ind w:right="144"/>
    </w:pPr>
    <w:rPr>
      <w:rFonts w:eastAsia="Times New Roman" w:cs="Times New Roman"/>
      <w:i/>
      <w:sz w:val="21"/>
      <w:szCs w:val="24"/>
    </w:rPr>
  </w:style>
  <w:style w:type="paragraph" w:customStyle="1" w:styleId="QAAnswer">
    <w:name w:val="Q&amp;A Answer"/>
    <w:basedOn w:val="BodyText"/>
    <w:link w:val="QAAnswerChar"/>
    <w:uiPriority w:val="9"/>
    <w:qFormat/>
    <w:rsid w:val="00785545"/>
    <w:pPr>
      <w:spacing w:before="240" w:after="360"/>
      <w:ind w:left="720" w:right="720"/>
    </w:pPr>
    <w:rPr>
      <w:rFonts w:eastAsia="Times New Roman" w:cs="Times New Roman"/>
      <w:szCs w:val="24"/>
    </w:rPr>
  </w:style>
  <w:style w:type="character" w:customStyle="1" w:styleId="QAAnswerChar">
    <w:name w:val="Q&amp;A Answer Char"/>
    <w:basedOn w:val="DefaultParagraphFont"/>
    <w:link w:val="QAAnswer"/>
    <w:uiPriority w:val="9"/>
    <w:locked/>
    <w:rsid w:val="00785545"/>
    <w:rPr>
      <w:rFonts w:eastAsia="Times New Roman" w:cs="Times New Roman"/>
      <w:sz w:val="20"/>
    </w:rPr>
  </w:style>
  <w:style w:type="paragraph" w:customStyle="1" w:styleId="QAQuestion">
    <w:name w:val="Q&amp;A Question"/>
    <w:basedOn w:val="BodyText"/>
    <w:next w:val="QAAnswer"/>
    <w:uiPriority w:val="8"/>
    <w:qFormat/>
    <w:rsid w:val="00785545"/>
    <w:pPr>
      <w:numPr>
        <w:numId w:val="17"/>
      </w:numPr>
      <w:tabs>
        <w:tab w:val="left" w:pos="720"/>
      </w:tabs>
      <w:spacing w:before="360" w:after="240"/>
      <w:ind w:left="720" w:hanging="720"/>
    </w:pPr>
    <w:rPr>
      <w:rFonts w:eastAsia="Times New Roman" w:cs="Times New Roman"/>
      <w:b/>
      <w:szCs w:val="24"/>
    </w:rPr>
  </w:style>
  <w:style w:type="character" w:customStyle="1" w:styleId="Heading3Char">
    <w:name w:val="Heading 3 Char"/>
    <w:basedOn w:val="DefaultParagraphFont"/>
    <w:link w:val="Heading3"/>
    <w:uiPriority w:val="4"/>
    <w:rsid w:val="00635769"/>
    <w:rPr>
      <w:rFonts w:asciiTheme="majorHAnsi" w:eastAsiaTheme="majorEastAsia" w:hAnsiTheme="majorHAnsi" w:cstheme="majorBidi"/>
      <w:color w:val="05304D" w:themeColor="text2"/>
    </w:rPr>
  </w:style>
  <w:style w:type="character" w:customStyle="1" w:styleId="Heading4Char">
    <w:name w:val="Heading 4 Char"/>
    <w:basedOn w:val="DefaultParagraphFont"/>
    <w:link w:val="Heading4"/>
    <w:uiPriority w:val="5"/>
    <w:rsid w:val="00635769"/>
    <w:rPr>
      <w:rFonts w:asciiTheme="majorHAnsi" w:eastAsiaTheme="majorEastAsia" w:hAnsiTheme="majorHAnsi" w:cstheme="majorBidi"/>
      <w:iCs/>
      <w:color w:val="05304D" w:themeColor="text2"/>
      <w:sz w:val="20"/>
    </w:rPr>
  </w:style>
  <w:style w:type="character" w:styleId="Emphasis">
    <w:name w:val="Emphasis"/>
    <w:basedOn w:val="DefaultParagraphFont"/>
    <w:uiPriority w:val="20"/>
    <w:semiHidden/>
    <w:qFormat/>
    <w:rsid w:val="004C228A"/>
    <w:rPr>
      <w:i/>
      <w:iCs/>
    </w:rPr>
  </w:style>
  <w:style w:type="character" w:customStyle="1" w:styleId="Heading5Char">
    <w:name w:val="Heading 5 Char"/>
    <w:basedOn w:val="DefaultParagraphFont"/>
    <w:link w:val="Heading5"/>
    <w:uiPriority w:val="10"/>
    <w:rsid w:val="007760FE"/>
    <w:rPr>
      <w:rFonts w:asciiTheme="majorHAnsi" w:eastAsiaTheme="majorEastAsia" w:hAnsiTheme="majorHAnsi" w:cstheme="majorBidi"/>
      <w:color w:val="063D5F" w:themeColor="accent1" w:themeShade="BF"/>
      <w:sz w:val="20"/>
    </w:rPr>
  </w:style>
  <w:style w:type="character" w:customStyle="1" w:styleId="Heading6Char">
    <w:name w:val="Heading 6 Char"/>
    <w:basedOn w:val="DefaultParagraphFont"/>
    <w:link w:val="Heading6"/>
    <w:uiPriority w:val="10"/>
    <w:rsid w:val="00635769"/>
    <w:rPr>
      <w:rFonts w:asciiTheme="majorHAnsi" w:eastAsiaTheme="majorEastAsia" w:hAnsiTheme="majorHAnsi" w:cstheme="majorBidi"/>
      <w:color w:val="04283F" w:themeColor="accent1" w:themeShade="7F"/>
      <w:sz w:val="20"/>
    </w:rPr>
  </w:style>
  <w:style w:type="paragraph" w:styleId="Quote">
    <w:name w:val="Quote"/>
    <w:basedOn w:val="Normal"/>
    <w:next w:val="Normal"/>
    <w:link w:val="QuoteChar"/>
    <w:uiPriority w:val="29"/>
    <w:qFormat/>
    <w:rsid w:val="005452BB"/>
    <w:pPr>
      <w:spacing w:before="240" w:after="240"/>
      <w:ind w:left="864" w:right="864"/>
      <w:jc w:val="center"/>
    </w:pPr>
    <w:rPr>
      <w:i/>
      <w:iCs/>
      <w:color w:val="4D4D4D" w:themeColor="text1" w:themeTint="BF"/>
    </w:rPr>
  </w:style>
  <w:style w:type="character" w:customStyle="1" w:styleId="QuoteChar">
    <w:name w:val="Quote Char"/>
    <w:basedOn w:val="DefaultParagraphFont"/>
    <w:link w:val="Quote"/>
    <w:uiPriority w:val="29"/>
    <w:rsid w:val="005452BB"/>
    <w:rPr>
      <w:i/>
      <w:iCs/>
      <w:color w:val="4D4D4D" w:themeColor="text1" w:themeTint="BF"/>
      <w:sz w:val="20"/>
    </w:rPr>
  </w:style>
  <w:style w:type="paragraph" w:customStyle="1" w:styleId="Numberedlist">
    <w:name w:val="Numbered list"/>
    <w:basedOn w:val="Normal"/>
    <w:link w:val="NumberedlistChar"/>
    <w:uiPriority w:val="6"/>
    <w:qFormat/>
    <w:rsid w:val="00C76C9A"/>
    <w:pPr>
      <w:numPr>
        <w:numId w:val="22"/>
      </w:numPr>
      <w:spacing w:before="120" w:after="60"/>
    </w:pPr>
    <w:rPr>
      <w:rFonts w:eastAsia="Times New Roman" w:cs="Times New Roman"/>
    </w:rPr>
  </w:style>
  <w:style w:type="paragraph" w:customStyle="1" w:styleId="BulletedList">
    <w:name w:val="Bulleted List"/>
    <w:basedOn w:val="Numberedlist"/>
    <w:link w:val="BulletedListChar"/>
    <w:uiPriority w:val="6"/>
    <w:qFormat/>
    <w:rsid w:val="00C76C9A"/>
    <w:pPr>
      <w:numPr>
        <w:numId w:val="24"/>
      </w:numPr>
    </w:pPr>
  </w:style>
  <w:style w:type="character" w:customStyle="1" w:styleId="NumberedlistChar">
    <w:name w:val="Numbered list Char"/>
    <w:basedOn w:val="DefaultParagraphFont"/>
    <w:link w:val="Numberedlist"/>
    <w:uiPriority w:val="6"/>
    <w:rsid w:val="00C76C9A"/>
    <w:rPr>
      <w:rFonts w:eastAsia="Times New Roman" w:cs="Times New Roman"/>
      <w:sz w:val="20"/>
    </w:rPr>
  </w:style>
  <w:style w:type="character" w:customStyle="1" w:styleId="BulletedListChar">
    <w:name w:val="Bulleted List Char"/>
    <w:basedOn w:val="NumberedlistChar"/>
    <w:link w:val="BulletedList"/>
    <w:uiPriority w:val="6"/>
    <w:rsid w:val="00C76C9A"/>
    <w:rPr>
      <w:rFonts w:eastAsia="Times New Roman" w:cs="Times New Roman"/>
      <w:sz w:val="20"/>
    </w:rPr>
  </w:style>
  <w:style w:type="paragraph" w:styleId="BalloonText">
    <w:name w:val="Balloon Text"/>
    <w:basedOn w:val="Normal"/>
    <w:link w:val="BalloonTextChar"/>
    <w:uiPriority w:val="99"/>
    <w:semiHidden/>
    <w:unhideWhenUsed/>
    <w:rsid w:val="009A18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1679">
      <w:bodyDiv w:val="1"/>
      <w:marLeft w:val="0"/>
      <w:marRight w:val="0"/>
      <w:marTop w:val="0"/>
      <w:marBottom w:val="0"/>
      <w:divBdr>
        <w:top w:val="none" w:sz="0" w:space="0" w:color="auto"/>
        <w:left w:val="none" w:sz="0" w:space="0" w:color="auto"/>
        <w:bottom w:val="none" w:sz="0" w:space="0" w:color="auto"/>
        <w:right w:val="none" w:sz="0" w:space="0" w:color="auto"/>
      </w:divBdr>
      <w:divsChild>
        <w:div w:id="595752598">
          <w:marLeft w:val="360"/>
          <w:marRight w:val="0"/>
          <w:marTop w:val="0"/>
          <w:marBottom w:val="200"/>
          <w:divBdr>
            <w:top w:val="none" w:sz="0" w:space="0" w:color="auto"/>
            <w:left w:val="none" w:sz="0" w:space="0" w:color="auto"/>
            <w:bottom w:val="none" w:sz="0" w:space="0" w:color="auto"/>
            <w:right w:val="none" w:sz="0" w:space="0" w:color="auto"/>
          </w:divBdr>
        </w:div>
      </w:divsChild>
    </w:div>
    <w:div w:id="176627456">
      <w:bodyDiv w:val="1"/>
      <w:marLeft w:val="0"/>
      <w:marRight w:val="0"/>
      <w:marTop w:val="0"/>
      <w:marBottom w:val="0"/>
      <w:divBdr>
        <w:top w:val="none" w:sz="0" w:space="0" w:color="auto"/>
        <w:left w:val="none" w:sz="0" w:space="0" w:color="auto"/>
        <w:bottom w:val="none" w:sz="0" w:space="0" w:color="auto"/>
        <w:right w:val="none" w:sz="0" w:space="0" w:color="auto"/>
      </w:divBdr>
    </w:div>
    <w:div w:id="344478790">
      <w:bodyDiv w:val="1"/>
      <w:marLeft w:val="0"/>
      <w:marRight w:val="0"/>
      <w:marTop w:val="0"/>
      <w:marBottom w:val="0"/>
      <w:divBdr>
        <w:top w:val="none" w:sz="0" w:space="0" w:color="auto"/>
        <w:left w:val="none" w:sz="0" w:space="0" w:color="auto"/>
        <w:bottom w:val="none" w:sz="0" w:space="0" w:color="auto"/>
        <w:right w:val="none" w:sz="0" w:space="0" w:color="auto"/>
      </w:divBdr>
    </w:div>
    <w:div w:id="358899769">
      <w:bodyDiv w:val="1"/>
      <w:marLeft w:val="0"/>
      <w:marRight w:val="0"/>
      <w:marTop w:val="0"/>
      <w:marBottom w:val="0"/>
      <w:divBdr>
        <w:top w:val="none" w:sz="0" w:space="0" w:color="auto"/>
        <w:left w:val="none" w:sz="0" w:space="0" w:color="auto"/>
        <w:bottom w:val="none" w:sz="0" w:space="0" w:color="auto"/>
        <w:right w:val="none" w:sz="0" w:space="0" w:color="auto"/>
      </w:divBdr>
    </w:div>
    <w:div w:id="572202849">
      <w:bodyDiv w:val="1"/>
      <w:marLeft w:val="0"/>
      <w:marRight w:val="0"/>
      <w:marTop w:val="0"/>
      <w:marBottom w:val="0"/>
      <w:divBdr>
        <w:top w:val="none" w:sz="0" w:space="0" w:color="auto"/>
        <w:left w:val="none" w:sz="0" w:space="0" w:color="auto"/>
        <w:bottom w:val="none" w:sz="0" w:space="0" w:color="auto"/>
        <w:right w:val="none" w:sz="0" w:space="0" w:color="auto"/>
      </w:divBdr>
    </w:div>
    <w:div w:id="598370452">
      <w:bodyDiv w:val="1"/>
      <w:marLeft w:val="0"/>
      <w:marRight w:val="0"/>
      <w:marTop w:val="0"/>
      <w:marBottom w:val="0"/>
      <w:divBdr>
        <w:top w:val="none" w:sz="0" w:space="0" w:color="auto"/>
        <w:left w:val="none" w:sz="0" w:space="0" w:color="auto"/>
        <w:bottom w:val="none" w:sz="0" w:space="0" w:color="auto"/>
        <w:right w:val="none" w:sz="0" w:space="0" w:color="auto"/>
      </w:divBdr>
      <w:divsChild>
        <w:div w:id="928924615">
          <w:marLeft w:val="274"/>
          <w:marRight w:val="0"/>
          <w:marTop w:val="0"/>
          <w:marBottom w:val="0"/>
          <w:divBdr>
            <w:top w:val="none" w:sz="0" w:space="0" w:color="auto"/>
            <w:left w:val="none" w:sz="0" w:space="0" w:color="auto"/>
            <w:bottom w:val="none" w:sz="0" w:space="0" w:color="auto"/>
            <w:right w:val="none" w:sz="0" w:space="0" w:color="auto"/>
          </w:divBdr>
        </w:div>
        <w:div w:id="1066730437">
          <w:marLeft w:val="274"/>
          <w:marRight w:val="0"/>
          <w:marTop w:val="0"/>
          <w:marBottom w:val="0"/>
          <w:divBdr>
            <w:top w:val="none" w:sz="0" w:space="0" w:color="auto"/>
            <w:left w:val="none" w:sz="0" w:space="0" w:color="auto"/>
            <w:bottom w:val="none" w:sz="0" w:space="0" w:color="auto"/>
            <w:right w:val="none" w:sz="0" w:space="0" w:color="auto"/>
          </w:divBdr>
        </w:div>
      </w:divsChild>
    </w:div>
    <w:div w:id="773478355">
      <w:bodyDiv w:val="1"/>
      <w:marLeft w:val="0"/>
      <w:marRight w:val="0"/>
      <w:marTop w:val="0"/>
      <w:marBottom w:val="0"/>
      <w:divBdr>
        <w:top w:val="none" w:sz="0" w:space="0" w:color="auto"/>
        <w:left w:val="none" w:sz="0" w:space="0" w:color="auto"/>
        <w:bottom w:val="none" w:sz="0" w:space="0" w:color="auto"/>
        <w:right w:val="none" w:sz="0" w:space="0" w:color="auto"/>
      </w:divBdr>
    </w:div>
    <w:div w:id="817109663">
      <w:bodyDiv w:val="1"/>
      <w:marLeft w:val="0"/>
      <w:marRight w:val="0"/>
      <w:marTop w:val="0"/>
      <w:marBottom w:val="0"/>
      <w:divBdr>
        <w:top w:val="none" w:sz="0" w:space="0" w:color="auto"/>
        <w:left w:val="none" w:sz="0" w:space="0" w:color="auto"/>
        <w:bottom w:val="none" w:sz="0" w:space="0" w:color="auto"/>
        <w:right w:val="none" w:sz="0" w:space="0" w:color="auto"/>
      </w:divBdr>
    </w:div>
    <w:div w:id="842742153">
      <w:bodyDiv w:val="1"/>
      <w:marLeft w:val="0"/>
      <w:marRight w:val="0"/>
      <w:marTop w:val="0"/>
      <w:marBottom w:val="0"/>
      <w:divBdr>
        <w:top w:val="none" w:sz="0" w:space="0" w:color="auto"/>
        <w:left w:val="none" w:sz="0" w:space="0" w:color="auto"/>
        <w:bottom w:val="none" w:sz="0" w:space="0" w:color="auto"/>
        <w:right w:val="none" w:sz="0" w:space="0" w:color="auto"/>
      </w:divBdr>
    </w:div>
    <w:div w:id="1024405157">
      <w:bodyDiv w:val="1"/>
      <w:marLeft w:val="0"/>
      <w:marRight w:val="0"/>
      <w:marTop w:val="0"/>
      <w:marBottom w:val="0"/>
      <w:divBdr>
        <w:top w:val="none" w:sz="0" w:space="0" w:color="auto"/>
        <w:left w:val="none" w:sz="0" w:space="0" w:color="auto"/>
        <w:bottom w:val="none" w:sz="0" w:space="0" w:color="auto"/>
        <w:right w:val="none" w:sz="0" w:space="0" w:color="auto"/>
      </w:divBdr>
      <w:divsChild>
        <w:div w:id="432436671">
          <w:marLeft w:val="274"/>
          <w:marRight w:val="0"/>
          <w:marTop w:val="0"/>
          <w:marBottom w:val="0"/>
          <w:divBdr>
            <w:top w:val="none" w:sz="0" w:space="0" w:color="auto"/>
            <w:left w:val="none" w:sz="0" w:space="0" w:color="auto"/>
            <w:bottom w:val="none" w:sz="0" w:space="0" w:color="auto"/>
            <w:right w:val="none" w:sz="0" w:space="0" w:color="auto"/>
          </w:divBdr>
        </w:div>
      </w:divsChild>
    </w:div>
    <w:div w:id="1084186754">
      <w:bodyDiv w:val="1"/>
      <w:marLeft w:val="0"/>
      <w:marRight w:val="0"/>
      <w:marTop w:val="0"/>
      <w:marBottom w:val="0"/>
      <w:divBdr>
        <w:top w:val="none" w:sz="0" w:space="0" w:color="auto"/>
        <w:left w:val="none" w:sz="0" w:space="0" w:color="auto"/>
        <w:bottom w:val="none" w:sz="0" w:space="0" w:color="auto"/>
        <w:right w:val="none" w:sz="0" w:space="0" w:color="auto"/>
      </w:divBdr>
      <w:divsChild>
        <w:div w:id="2085836738">
          <w:marLeft w:val="360"/>
          <w:marRight w:val="0"/>
          <w:marTop w:val="0"/>
          <w:marBottom w:val="200"/>
          <w:divBdr>
            <w:top w:val="none" w:sz="0" w:space="0" w:color="auto"/>
            <w:left w:val="none" w:sz="0" w:space="0" w:color="auto"/>
            <w:bottom w:val="none" w:sz="0" w:space="0" w:color="auto"/>
            <w:right w:val="none" w:sz="0" w:space="0" w:color="auto"/>
          </w:divBdr>
        </w:div>
      </w:divsChild>
    </w:div>
    <w:div w:id="1117990360">
      <w:bodyDiv w:val="1"/>
      <w:marLeft w:val="0"/>
      <w:marRight w:val="0"/>
      <w:marTop w:val="0"/>
      <w:marBottom w:val="0"/>
      <w:divBdr>
        <w:top w:val="none" w:sz="0" w:space="0" w:color="auto"/>
        <w:left w:val="none" w:sz="0" w:space="0" w:color="auto"/>
        <w:bottom w:val="none" w:sz="0" w:space="0" w:color="auto"/>
        <w:right w:val="none" w:sz="0" w:space="0" w:color="auto"/>
      </w:divBdr>
      <w:divsChild>
        <w:div w:id="1894151894">
          <w:marLeft w:val="274"/>
          <w:marRight w:val="0"/>
          <w:marTop w:val="0"/>
          <w:marBottom w:val="0"/>
          <w:divBdr>
            <w:top w:val="none" w:sz="0" w:space="0" w:color="auto"/>
            <w:left w:val="none" w:sz="0" w:space="0" w:color="auto"/>
            <w:bottom w:val="none" w:sz="0" w:space="0" w:color="auto"/>
            <w:right w:val="none" w:sz="0" w:space="0" w:color="auto"/>
          </w:divBdr>
        </w:div>
        <w:div w:id="1937860684">
          <w:marLeft w:val="274"/>
          <w:marRight w:val="0"/>
          <w:marTop w:val="0"/>
          <w:marBottom w:val="0"/>
          <w:divBdr>
            <w:top w:val="none" w:sz="0" w:space="0" w:color="auto"/>
            <w:left w:val="none" w:sz="0" w:space="0" w:color="auto"/>
            <w:bottom w:val="none" w:sz="0" w:space="0" w:color="auto"/>
            <w:right w:val="none" w:sz="0" w:space="0" w:color="auto"/>
          </w:divBdr>
        </w:div>
      </w:divsChild>
    </w:div>
    <w:div w:id="1206990294">
      <w:bodyDiv w:val="1"/>
      <w:marLeft w:val="0"/>
      <w:marRight w:val="0"/>
      <w:marTop w:val="0"/>
      <w:marBottom w:val="0"/>
      <w:divBdr>
        <w:top w:val="none" w:sz="0" w:space="0" w:color="auto"/>
        <w:left w:val="none" w:sz="0" w:space="0" w:color="auto"/>
        <w:bottom w:val="none" w:sz="0" w:space="0" w:color="auto"/>
        <w:right w:val="none" w:sz="0" w:space="0" w:color="auto"/>
      </w:divBdr>
    </w:div>
    <w:div w:id="1267931262">
      <w:bodyDiv w:val="1"/>
      <w:marLeft w:val="0"/>
      <w:marRight w:val="0"/>
      <w:marTop w:val="0"/>
      <w:marBottom w:val="0"/>
      <w:divBdr>
        <w:top w:val="none" w:sz="0" w:space="0" w:color="auto"/>
        <w:left w:val="none" w:sz="0" w:space="0" w:color="auto"/>
        <w:bottom w:val="none" w:sz="0" w:space="0" w:color="auto"/>
        <w:right w:val="none" w:sz="0" w:space="0" w:color="auto"/>
      </w:divBdr>
    </w:div>
    <w:div w:id="1537893652">
      <w:bodyDiv w:val="1"/>
      <w:marLeft w:val="0"/>
      <w:marRight w:val="0"/>
      <w:marTop w:val="0"/>
      <w:marBottom w:val="0"/>
      <w:divBdr>
        <w:top w:val="none" w:sz="0" w:space="0" w:color="auto"/>
        <w:left w:val="none" w:sz="0" w:space="0" w:color="auto"/>
        <w:bottom w:val="none" w:sz="0" w:space="0" w:color="auto"/>
        <w:right w:val="none" w:sz="0" w:space="0" w:color="auto"/>
      </w:divBdr>
    </w:div>
    <w:div w:id="1737239443">
      <w:bodyDiv w:val="1"/>
      <w:marLeft w:val="0"/>
      <w:marRight w:val="0"/>
      <w:marTop w:val="0"/>
      <w:marBottom w:val="0"/>
      <w:divBdr>
        <w:top w:val="none" w:sz="0" w:space="0" w:color="auto"/>
        <w:left w:val="none" w:sz="0" w:space="0" w:color="auto"/>
        <w:bottom w:val="none" w:sz="0" w:space="0" w:color="auto"/>
        <w:right w:val="none" w:sz="0" w:space="0" w:color="auto"/>
      </w:divBdr>
    </w:div>
    <w:div w:id="1848323814">
      <w:bodyDiv w:val="1"/>
      <w:marLeft w:val="0"/>
      <w:marRight w:val="0"/>
      <w:marTop w:val="0"/>
      <w:marBottom w:val="0"/>
      <w:divBdr>
        <w:top w:val="none" w:sz="0" w:space="0" w:color="auto"/>
        <w:left w:val="none" w:sz="0" w:space="0" w:color="auto"/>
        <w:bottom w:val="none" w:sz="0" w:space="0" w:color="auto"/>
        <w:right w:val="none" w:sz="0" w:space="0" w:color="auto"/>
      </w:divBdr>
    </w:div>
    <w:div w:id="1890215926">
      <w:bodyDiv w:val="1"/>
      <w:marLeft w:val="0"/>
      <w:marRight w:val="0"/>
      <w:marTop w:val="0"/>
      <w:marBottom w:val="0"/>
      <w:divBdr>
        <w:top w:val="none" w:sz="0" w:space="0" w:color="auto"/>
        <w:left w:val="none" w:sz="0" w:space="0" w:color="auto"/>
        <w:bottom w:val="none" w:sz="0" w:space="0" w:color="auto"/>
        <w:right w:val="none" w:sz="0" w:space="0" w:color="auto"/>
      </w:divBdr>
      <w:divsChild>
        <w:div w:id="1007055942">
          <w:marLeft w:val="274"/>
          <w:marRight w:val="0"/>
          <w:marTop w:val="0"/>
          <w:marBottom w:val="0"/>
          <w:divBdr>
            <w:top w:val="none" w:sz="0" w:space="0" w:color="auto"/>
            <w:left w:val="none" w:sz="0" w:space="0" w:color="auto"/>
            <w:bottom w:val="none" w:sz="0" w:space="0" w:color="auto"/>
            <w:right w:val="none" w:sz="0" w:space="0" w:color="auto"/>
          </w:divBdr>
        </w:div>
        <w:div w:id="1860116672">
          <w:marLeft w:val="274"/>
          <w:marRight w:val="0"/>
          <w:marTop w:val="0"/>
          <w:marBottom w:val="0"/>
          <w:divBdr>
            <w:top w:val="none" w:sz="0" w:space="0" w:color="auto"/>
            <w:left w:val="none" w:sz="0" w:space="0" w:color="auto"/>
            <w:bottom w:val="none" w:sz="0" w:space="0" w:color="auto"/>
            <w:right w:val="none" w:sz="0" w:space="0" w:color="auto"/>
          </w:divBdr>
        </w:div>
      </w:divsChild>
    </w:div>
    <w:div w:id="2020305798">
      <w:bodyDiv w:val="1"/>
      <w:marLeft w:val="0"/>
      <w:marRight w:val="0"/>
      <w:marTop w:val="0"/>
      <w:marBottom w:val="0"/>
      <w:divBdr>
        <w:top w:val="none" w:sz="0" w:space="0" w:color="auto"/>
        <w:left w:val="none" w:sz="0" w:space="0" w:color="auto"/>
        <w:bottom w:val="none" w:sz="0" w:space="0" w:color="auto"/>
        <w:right w:val="none" w:sz="0" w:space="0" w:color="auto"/>
      </w:divBdr>
      <w:divsChild>
        <w:div w:id="1877422089">
          <w:marLeft w:val="274"/>
          <w:marRight w:val="0"/>
          <w:marTop w:val="0"/>
          <w:marBottom w:val="0"/>
          <w:divBdr>
            <w:top w:val="none" w:sz="0" w:space="0" w:color="auto"/>
            <w:left w:val="none" w:sz="0" w:space="0" w:color="auto"/>
            <w:bottom w:val="none" w:sz="0" w:space="0" w:color="auto"/>
            <w:right w:val="none" w:sz="0" w:space="0" w:color="auto"/>
          </w:divBdr>
        </w:div>
        <w:div w:id="265189961">
          <w:marLeft w:val="274"/>
          <w:marRight w:val="0"/>
          <w:marTop w:val="0"/>
          <w:marBottom w:val="0"/>
          <w:divBdr>
            <w:top w:val="none" w:sz="0" w:space="0" w:color="auto"/>
            <w:left w:val="none" w:sz="0" w:space="0" w:color="auto"/>
            <w:bottom w:val="none" w:sz="0" w:space="0" w:color="auto"/>
            <w:right w:val="none" w:sz="0" w:space="0" w:color="auto"/>
          </w:divBdr>
        </w:div>
      </w:divsChild>
    </w:div>
    <w:div w:id="2051176695">
      <w:bodyDiv w:val="1"/>
      <w:marLeft w:val="0"/>
      <w:marRight w:val="0"/>
      <w:marTop w:val="0"/>
      <w:marBottom w:val="0"/>
      <w:divBdr>
        <w:top w:val="none" w:sz="0" w:space="0" w:color="auto"/>
        <w:left w:val="none" w:sz="0" w:space="0" w:color="auto"/>
        <w:bottom w:val="none" w:sz="0" w:space="0" w:color="auto"/>
        <w:right w:val="none" w:sz="0" w:space="0" w:color="auto"/>
      </w:divBdr>
      <w:divsChild>
        <w:div w:id="1125662921">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nnie Mae External">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Source Sans Pro">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0" tIns="0" rIns="0" bIns="0" rtlCol="0">
        <a:spAutoFit/>
      </a:bodyPr>
      <a:lstStyle>
        <a:defPPr algn="l">
          <a:lnSpc>
            <a:spcPct val="90000"/>
          </a:lnSpc>
          <a:spcAft>
            <a:spcPts val="1200"/>
          </a:spcAft>
          <a:defRPr/>
        </a:defPPr>
      </a:lstStyle>
    </a:txDef>
  </a:objectDefaults>
  <a:extraClrSchemeLst/>
  <a:extLst>
    <a:ext uri="{05A4C25C-085E-4340-85A3-A5531E510DB2}">
      <thm15:themeFamily xmlns:thm15="http://schemas.microsoft.com/office/thememl/2012/main" name="Fannie Mae External" id="{8FCBFEF2-8769-47C1-9A95-DEDE839E2D69}" vid="{11FE7236-E89D-41DE-8E11-6375C02A2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7D871BF1CF344B3BC9E7E24E01A78" ma:contentTypeVersion="10" ma:contentTypeDescription="Create a new document." ma:contentTypeScope="" ma:versionID="72328de37cf78536e8eab51d9c42c1ad">
  <xsd:schema xmlns:xsd="http://www.w3.org/2001/XMLSchema" xmlns:xs="http://www.w3.org/2001/XMLSchema" xmlns:p="http://schemas.microsoft.com/office/2006/metadata/properties" xmlns:ns3="9e7524dd-908d-47da-a31c-d4b069c2b501" targetNamespace="http://schemas.microsoft.com/office/2006/metadata/properties" ma:root="true" ma:fieldsID="da60956a2c49ee399c6a5a6896e645d7" ns3:_="">
    <xsd:import namespace="9e7524dd-908d-47da-a31c-d4b069c2b5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24dd-908d-47da-a31c-d4b069c2b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563F-2AB1-478B-BE78-7D3A0DF2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24dd-908d-47da-a31c-d4b069c2b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1F209-7377-4547-BABA-9114BCD88609}">
  <ds:schemaRefs>
    <ds:schemaRef ds:uri="http://schemas.microsoft.com/sharepoint/v3/contenttype/forms"/>
  </ds:schemaRefs>
</ds:datastoreItem>
</file>

<file path=customXml/itemProps3.xml><?xml version="1.0" encoding="utf-8"?>
<ds:datastoreItem xmlns:ds="http://schemas.openxmlformats.org/officeDocument/2006/customXml" ds:itemID="{A6AA8142-B901-425B-8BB6-9361A241B21E}">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9e7524dd-908d-47da-a31c-d4b069c2b501"/>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914C82F-ECF7-47EB-8D9E-88AC99FB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2020-03-24T21:03:00Z</dcterms:created>
  <dcterms:modified xsi:type="dcterms:W3CDTF">2020-03-24T21:03:00Z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0x01010057E7D871BF1CF344B3BC9E7E24E01A78</vt:lpwstr>
  </property>
</Properties>
</file>